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0003" w14:textId="77777777" w:rsidR="006803FE" w:rsidRDefault="006803FE">
      <w:pPr>
        <w:rPr>
          <w:rFonts w:ascii="Times New Roman" w:hAnsi="Times New Roman" w:cs="Times New Roman"/>
          <w:b/>
          <w:bCs/>
          <w:sz w:val="26"/>
          <w:szCs w:val="26"/>
        </w:rPr>
      </w:pPr>
    </w:p>
    <w:p w14:paraId="1128D5E9" w14:textId="39DCB0DB" w:rsidR="006803FE" w:rsidRPr="00E43C48" w:rsidRDefault="002143AF" w:rsidP="00E43C48">
      <w:pPr>
        <w:pStyle w:val="NormalWeb"/>
        <w:rPr>
          <w:sz w:val="26"/>
          <w:szCs w:val="26"/>
        </w:rPr>
      </w:pPr>
      <w:r>
        <w:rPr>
          <w:sz w:val="26"/>
          <w:szCs w:val="26"/>
        </w:rPr>
        <w:t>D</w:t>
      </w:r>
      <w:r w:rsidR="00000000">
        <w:rPr>
          <w:sz w:val="26"/>
          <w:szCs w:val="26"/>
        </w:rPr>
        <w:t>ự án phân tích dữ liệu kinh doanh bán lẻ tập trung đánh giá hiệu quả doanh thu, sản phẩm, khách hàng, hành vi mua sắm và hoạt động marketing trong giai đoạn 2022–2025. Sử dụng Python, SQL và Power BI, dự án phân tích xu hướng tăng trưởng doanh thu, hiệu quả các nhóm sản phẩm, phân khúc khách hàng thông qua RFM, và hiệu suất chuyển đổi của các kênh marketing. Từ đó, xác định các động lực tăng trưởng, rủi ro về giữ chân khách hàng và những điểm nghẽn trong phễu chuyển đổi, đồng thời đề xuất giải pháp tối ưu doanh thu, lợi nhuận và hiệu quả sử dụng ngân sách marketing.</w:t>
      </w:r>
    </w:p>
    <w:p w14:paraId="66A2F886"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1. Overview</w:t>
      </w:r>
    </w:p>
    <w:p w14:paraId="15252551"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2025 là năm có doanh thu cao nhất trong toàn bộ giai đoạn, dao động khoảng 0.27M–0.46M/tháng. Doanh thu đạt đỉnh vào tháng 1 (~ 0.46M), giảm dần và chạm mức thấp nhất khoảng ~ 0.27M vào tháng 4, sau đó phục hồi từ tháng 5.</w:t>
      </w:r>
    </w:p>
    <w:p w14:paraId="4D1558D6"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Doanh thu có xu hướng tăng mạnh vào cuối năm, đặc biệt trong Q4/2025, với doanh thu đạt khoảng 0.42M tháng 11 và 0.43M tháng 12, cho thấy nhu cầu mua sắm tăng cao trong giai đoạn cuối năm.</w:t>
      </w:r>
    </w:p>
    <w:p w14:paraId="46FDDD5D"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Fashion là category đóng góp doanh thu và lợi nhuận cao nhất, cho thấy đây là nhóm sản phẩm chủ lực và có vai trò quan trọng trong hiệu quả kinh doanh.</w:t>
      </w:r>
    </w:p>
    <w:p w14:paraId="1422078A"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Hồ Chí Minh và Hà Nội là hai thành phố đóng góp doanh thu và lợi nhuận nổi bật nhất, cho thấy đây là hai thị trường trọng điểm cần tiếp tục tập trung khai thác.</w:t>
      </w:r>
    </w:p>
    <w:p w14:paraId="7887E8EF"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2. Product</w:t>
      </w:r>
    </w:p>
    <w:p w14:paraId="110014AF"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 Nguyên nhân tăng trưởng 2025</w:t>
      </w:r>
    </w:p>
    <w:p w14:paraId="4B263ACA"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có 3 sản phẩm mới trong 2025 (New, đóng góp 4%) — yếu tố mới, góp phần nhỏ nhưng thực chất vào tăng trưởng, riêng biệt với phần tăng của Core.. Tuy nhiên, xét về độ lớn đóng góp, New (0.17M) vẫn rất nhỏ so với phần tăng trưởng tổng thể của Core (nếu Core cũng tăng so với các năm trước) — nên sản phẩm mới có góp phần nhưng không phải là động lực chính. Động lực chính vẫn là tăng số lượng đơn hàng trên nhóm Core hiện hữu (11,663 đơn, cao nhất 4 năm).</w:t>
      </w:r>
    </w:p>
    <w:p w14:paraId="14AA4096"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xml:space="preserve">Doanh thu/sản lượng phân bổ khá đồng đều giữa các sản phẩm, không tập trung mạnh vào một nhóm nhỏ </w:t>
      </w:r>
    </w:p>
    <w:p w14:paraId="627C6EDE"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ĐỀ XUẤT: </w:t>
      </w:r>
    </w:p>
    <w:p w14:paraId="5AB61336"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Củng cố Core: giữ đà tăng đơn hàng qua retention/upsell với khách hiện hữu.</w:t>
      </w:r>
    </w:p>
    <w:p w14:paraId="160BF349"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lastRenderedPageBreak/>
        <w:t>- Đẩy mạnh New: tăng tỷ trọng từ 4% lên cao hơn qua marketing tập trung, đưa vào các campaign hiệu quả nhất.</w:t>
      </w:r>
    </w:p>
    <w:p w14:paraId="6380E3E0"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2. Customer</w:t>
      </w:r>
    </w:p>
    <w:p w14:paraId="62B2F698"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Nguyên nhân tăng trưởng 2025</w:t>
      </w:r>
    </w:p>
    <w:p w14:paraId="06AB067B"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Nhìn vào cơ cấu khách hàng theo Member Tier, có một nghịch lý đáng chú ý: Standard là tier đông nhất (2.4K khách) nhưng lại không phải tier mang về doanh thu cao nhất - vị trí đó thuộc về Silver (1.95M). Lý do nằm ở giá trị chi tiêu bình quân mỗi khách: Silver chi trung bình ~1,026/khách, gấp 2.1 lần Standard (~488/khách). Đi xa hơn, Gold — dù chỉ có 0.6K khách, ít nhất trong 4 tier — lại đạt doanh thu bình quân/khách cao nhất hệ thống (~1,383/khách). Xu hướng này lặp lại rõ rệt ở margin lợi nhuận: Standard ~36% → Silver ~47% → Gold ~53% → Platinum ~54%, tăng dần đều theo tier.</w:t>
      </w:r>
    </w:p>
    <w:p w14:paraId="6A244751"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Tổng số khách hàng 2025 tăng đột biến +130% so với 2024 — gấp gần 2 lần tốc độ tăng trưởng trung bình các năm trước (~70-74%). Đây chính là nguyên nhân gốc rễ giải thích vì sao đơn hàng 2025 nhiều gấp 2.3 lần 2024.</w:t>
      </w:r>
    </w:p>
    <w:p w14:paraId="0CD0D5D5"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Khách hàng mới (New) gần như gấp đôi (1,692 → 3,374, +99%) → công ty đang mở rộng tệp khách hàng rất mạnh trong 2025 (marketing/kênh bán hiệu quả hơn, hoặc mở rộng thị trường).</w:t>
      </w:r>
    </w:p>
    <w:p w14:paraId="42A7F2F8"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Khách hàng quay lại (Repeat) tăng hơn 3.3 lần (504 → 1,681, +233%) — mức tăng này lớn hơn cả tăng New, nhưng theo biểu đồ Repeat Rate theo quý bên phải, tỷ lệ % repeat của 2025 (~19-25%) không cao vượt trội so với 2024 (~19-26%) — nghĩa là repeat rate (%) khá ổn định qua các năm, và số lượng khách repeat tăng mạnh chủ yếu vì nền khách hàng năm trước (2024) đã lớn hơn nhiều, nên đơn giản là có nhiều khách cũ hơn để quay lại - không phải vì công ty đột nhiên giữ chân khách tốt hơn hẳn.</w:t>
      </w:r>
    </w:p>
    <w:p w14:paraId="4020DC7A"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3. RFM</w:t>
      </w:r>
    </w:p>
    <w:p w14:paraId="47B6F9A1" w14:textId="77777777" w:rsidR="006803FE" w:rsidRDefault="00000000">
      <w:pPr>
        <w:rPr>
          <w:rFonts w:ascii="Times New Roman" w:hAnsi="Times New Roman" w:cs="Times New Roman"/>
          <w:sz w:val="26"/>
          <w:szCs w:val="26"/>
        </w:rPr>
      </w:pPr>
      <w:r>
        <w:rPr>
          <w:rFonts w:ascii="Times New Roman" w:hAnsi="Times New Roman" w:cs="Times New Roman"/>
          <w:b/>
          <w:bCs/>
          <w:sz w:val="26"/>
          <w:szCs w:val="26"/>
        </w:rPr>
        <w:t>Tăng trưởng 2025</w:t>
      </w:r>
      <w:r>
        <w:rPr>
          <w:rFonts w:ascii="Times New Roman" w:hAnsi="Times New Roman" w:cs="Times New Roman"/>
          <w:sz w:val="26"/>
          <w:szCs w:val="26"/>
        </w:rPr>
        <w:t>:</w:t>
      </w:r>
    </w:p>
    <w:p w14:paraId="51937000"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Động lực tăng đơn hàng/khách hàng 2025 gần như chắc chắn đến từ việc nhóm Champions (đông + mua thường xuyên + mua gần đây) đang hoạt động rất mạnh. Tuy nhiên, sự tồn tại của nhóm At Risk lớn với tần suất mua từng cao là một cảnh báo: đây có thể là chính nhóm Champions/Loyal của các năm 2022-2023 đã "rơi rụng" dần - nên tăng trưởng khách mới năm 2025 một phần cũng có thể là để bù đắp cho lượng khách cũ đang rời bỏ, chứ không hoàn toàn là tăng trưởng ròng.</w:t>
      </w:r>
    </w:p>
    <w:p w14:paraId="203C9A07" w14:textId="77777777" w:rsidR="006803FE" w:rsidRDefault="00000000">
      <w:pPr>
        <w:rPr>
          <w:rFonts w:ascii="Times New Roman" w:hAnsi="Times New Roman" w:cs="Times New Roman"/>
          <w:sz w:val="26"/>
          <w:szCs w:val="26"/>
        </w:rPr>
      </w:pPr>
      <w:r>
        <w:rPr>
          <w:rFonts w:ascii="Times New Roman" w:hAnsi="Times New Roman" w:cs="Times New Roman"/>
          <w:b/>
          <w:bCs/>
          <w:sz w:val="26"/>
          <w:szCs w:val="26"/>
        </w:rPr>
        <w:lastRenderedPageBreak/>
        <w:t>ĐỀ XUẤT</w:t>
      </w:r>
      <w:r>
        <w:rPr>
          <w:rFonts w:ascii="Times New Roman" w:hAnsi="Times New Roman" w:cs="Times New Roman"/>
          <w:sz w:val="26"/>
          <w:szCs w:val="26"/>
        </w:rPr>
        <w:t>: Nên kiểm tra xem tổng Monetary/Frequency của nhóm At Risk so với Champions hiện tại có tương đương không - nếu có, đó là bằng chứng cho thấy công ty đang "thay máu" khách hàng (mất khách cũ, có khách mới) hơn là tăng trưởng thuần túy.</w:t>
      </w:r>
    </w:p>
    <w:p w14:paraId="4FEDB2D8" w14:textId="77777777" w:rsidR="006803FE" w:rsidRDefault="00000000">
      <w:pPr>
        <w:rPr>
          <w:rFonts w:ascii="Times New Roman" w:hAnsi="Times New Roman" w:cs="Times New Roman"/>
          <w:b/>
          <w:bCs/>
          <w:sz w:val="26"/>
          <w:szCs w:val="26"/>
        </w:rPr>
      </w:pPr>
      <w:r>
        <w:rPr>
          <w:rFonts w:ascii="Times New Roman" w:hAnsi="Times New Roman" w:cs="Times New Roman"/>
          <w:b/>
          <w:bCs/>
          <w:sz w:val="26"/>
          <w:szCs w:val="26"/>
        </w:rPr>
        <w:t>4. Marketing</w:t>
      </w:r>
    </w:p>
    <w:p w14:paraId="6CF2DA10"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Phễu chuyển đổi: Visits (67K) → Orders (7.5K), conversion 11.22%. Điểm rơi lớn nhất là Visits→ATC (mất ~73%) — đây là nút thắt cần xử lý trước tiên (UX trang sản phẩm).</w:t>
      </w:r>
    </w:p>
    <w:p w14:paraId="3BA49099"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xml:space="preserve">Orders đạt đỉnh ở December và June. January và November cũng cao. </w:t>
      </w:r>
    </w:p>
    <w:p w14:paraId="334C0FEE"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CPO bị hiểu nhầm: Số $27.72 là blended (gồm cả Organic miễn phí). CPO thực của Paid riêng là ~$50.3 — gần gấp đôi.</w:t>
      </w:r>
    </w:p>
    <w:p w14:paraId="080BE8D8"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Paid hiệu quả hơn Organic: Conversion Paid (11.70%) nhỉnh hơn Organic (10.68%) dù tốn phí — tiền quảng cáo đang nhắm đúng khách có ý định mua.</w:t>
      </w:r>
    </w:p>
    <w:p w14:paraId="4BF04F9B"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Campaign tốt nhất: Marketplace Ads (conversion cao nhất) và Social Ads (chi phí/đơn thấp nhất).</w:t>
      </w:r>
    </w:p>
    <w:p w14:paraId="5D2ABC6E"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Campaign tệ nhất: Email CRM — vừa tốn chi phí nhất, vừa convert kém nhất.</w:t>
      </w:r>
    </w:p>
    <w:p w14:paraId="4B8BC0F8"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xml:space="preserve">ĐỀ XUẤT </w:t>
      </w:r>
    </w:p>
    <w:p w14:paraId="4B76D158"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Vá lỗ phễu ở bước Visits→ATC (UX + retargeting).</w:t>
      </w:r>
    </w:p>
    <w:p w14:paraId="284A0259"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Cắt giảm/tối ưu Email CRM, chuyển ngân sách sang Marketplace Ads &amp; Social Ads.</w:t>
      </w:r>
    </w:p>
    <w:p w14:paraId="3A48E0F5"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Đầu tư thêm Organic (SEO/content) để giảm CAC dài hạn.</w:t>
      </w:r>
    </w:p>
    <w:p w14:paraId="18EADB91" w14:textId="77777777" w:rsidR="006803FE" w:rsidRDefault="00000000">
      <w:pPr>
        <w:rPr>
          <w:rFonts w:ascii="Times New Roman" w:hAnsi="Times New Roman" w:cs="Times New Roman"/>
          <w:sz w:val="26"/>
          <w:szCs w:val="26"/>
        </w:rPr>
      </w:pPr>
      <w:r>
        <w:rPr>
          <w:rFonts w:ascii="Times New Roman" w:hAnsi="Times New Roman" w:cs="Times New Roman"/>
          <w:sz w:val="26"/>
          <w:szCs w:val="26"/>
        </w:rPr>
        <w:t>- Dồn ngân sách mạnh vào Q4, kích cầu thêm ở Q2.</w:t>
      </w:r>
    </w:p>
    <w:p w14:paraId="04F604E0" w14:textId="77777777" w:rsidR="006803FE" w:rsidRDefault="006803FE">
      <w:pPr>
        <w:rPr>
          <w:rFonts w:ascii="Times New Roman" w:hAnsi="Times New Roman" w:cs="Times New Roman"/>
          <w:sz w:val="26"/>
          <w:szCs w:val="26"/>
        </w:rPr>
      </w:pPr>
    </w:p>
    <w:p w14:paraId="6D25A584" w14:textId="77777777" w:rsidR="006803FE" w:rsidRDefault="006803FE">
      <w:pPr>
        <w:rPr>
          <w:rFonts w:ascii="Times New Roman" w:hAnsi="Times New Roman" w:cs="Times New Roman"/>
          <w:sz w:val="26"/>
          <w:szCs w:val="26"/>
        </w:rPr>
      </w:pPr>
    </w:p>
    <w:p w14:paraId="584BB63B" w14:textId="77777777" w:rsidR="006803FE" w:rsidRDefault="006803FE">
      <w:pPr>
        <w:rPr>
          <w:rFonts w:ascii="Times New Roman" w:hAnsi="Times New Roman" w:cs="Times New Roman"/>
          <w:sz w:val="26"/>
          <w:szCs w:val="26"/>
        </w:rPr>
      </w:pPr>
    </w:p>
    <w:sectPr w:rsidR="006803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B16A" w14:textId="77777777" w:rsidR="00DE1F7C" w:rsidRDefault="00DE1F7C">
      <w:pPr>
        <w:spacing w:line="240" w:lineRule="auto"/>
      </w:pPr>
      <w:r>
        <w:separator/>
      </w:r>
    </w:p>
  </w:endnote>
  <w:endnote w:type="continuationSeparator" w:id="0">
    <w:p w14:paraId="79B02045" w14:textId="77777777" w:rsidR="00DE1F7C" w:rsidRDefault="00DE1F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407BD" w14:textId="77777777" w:rsidR="00DE1F7C" w:rsidRDefault="00DE1F7C">
      <w:pPr>
        <w:spacing w:after="0"/>
      </w:pPr>
      <w:r>
        <w:separator/>
      </w:r>
    </w:p>
  </w:footnote>
  <w:footnote w:type="continuationSeparator" w:id="0">
    <w:p w14:paraId="52F7CDFF" w14:textId="77777777" w:rsidR="00DE1F7C" w:rsidRDefault="00DE1F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128B"/>
    <w:multiLevelType w:val="multilevel"/>
    <w:tmpl w:val="222512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0151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C4"/>
    <w:rsid w:val="00097D9C"/>
    <w:rsid w:val="000A0013"/>
    <w:rsid w:val="000F71B1"/>
    <w:rsid w:val="002143AF"/>
    <w:rsid w:val="003800F0"/>
    <w:rsid w:val="003A43C4"/>
    <w:rsid w:val="00436C97"/>
    <w:rsid w:val="004A2282"/>
    <w:rsid w:val="00545E1C"/>
    <w:rsid w:val="005D2481"/>
    <w:rsid w:val="006711AF"/>
    <w:rsid w:val="006803FE"/>
    <w:rsid w:val="00871590"/>
    <w:rsid w:val="008E59D7"/>
    <w:rsid w:val="009C27EA"/>
    <w:rsid w:val="00A172F7"/>
    <w:rsid w:val="00DE1F7C"/>
    <w:rsid w:val="00E43C48"/>
    <w:rsid w:val="00EF0320"/>
    <w:rsid w:val="00F84273"/>
    <w:rsid w:val="00FA6F6A"/>
    <w:rsid w:val="7B9C0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1EA63"/>
  <w15:docId w15:val="{6C9328C5-0770-46F7-88B0-EA6338B6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Data</dc:creator>
  <cp:lastModifiedBy>Huy Data</cp:lastModifiedBy>
  <cp:revision>9</cp:revision>
  <dcterms:created xsi:type="dcterms:W3CDTF">2026-10-12T09:50:00Z</dcterms:created>
  <dcterms:modified xsi:type="dcterms:W3CDTF">2026-10-13T08:36:00Z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eyJoZGlkIjoiZGE3Y2I3OTRlNTA1NjUwZGY1NGI3NTM4NWZhMGI4N2IiLCJ1c2VySWQiOiIxMzkyMDg1NDc1NDUxIn0=</vt:lpwstr>
  </property>
  <property fmtid="{D5CDD505-2E9C-101B-9397-08002B2CF9AE}" pid="3" name="KSOProductBuildVer">
    <vt:lpwstr>1033-12.1.0.28485</vt:lpwstr>
  </property>
  <property fmtid="{D5CDD505-2E9C-101B-9397-08002B2CF9AE}" pid="4" name="ICV">
    <vt:lpwstr>795B629808E64F9E80C7002BC42CA0F0_12</vt:lpwstr>
  </property>
</Properties>
</file>