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[Nombre de la institución]</w:t>
      </w:r>
    </w:p>
    <w:p/>
    <w:p>
      <w:pPr>
        <w:jc w:val="center"/>
      </w:pPr>
      <w:r>
        <w:t>[Facultad y programa académico]</w:t>
      </w:r>
    </w:p>
    <w:p/>
    <w:p/>
    <w:p>
      <w:pPr>
        <w:jc w:val="center"/>
      </w:pPr>
      <w:r>
        <w:rPr>
          <w:b/>
          <w:sz w:val="32"/>
        </w:rPr>
        <w:t>MANUAL TÉCNICO DEL SISTEMA LA SÉPTIMA ESTRELLA</w:t>
      </w:r>
    </w:p>
    <w:p/>
    <w:p>
      <w:pPr>
        <w:jc w:val="center"/>
      </w:pPr>
      <w:r>
        <w:t>Sistema web de gestión operativa para inventario, ventas y analítica</w:t>
      </w:r>
    </w:p>
    <w:p/>
    <w:p/>
    <w:p>
      <w:pPr>
        <w:jc w:val="center"/>
      </w:pPr>
      <w:r>
        <w:t>Autor(es): [Nombre del autor o autores]</w:t>
      </w:r>
    </w:p>
    <w:p>
      <w:pPr>
        <w:jc w:val="center"/>
      </w:pPr>
      <w:r>
        <w:t>Docente / director: [Nombre del docente o director]</w:t>
      </w:r>
    </w:p>
    <w:p/>
    <w:p/>
    <w:p>
      <w:pPr>
        <w:jc w:val="center"/>
      </w:pPr>
      <w:r>
        <w:t>[Ciudad]</w:t>
      </w:r>
    </w:p>
    <w:p>
      <w:pPr>
        <w:jc w:val="center"/>
      </w:pPr>
      <w:r>
        <w:t>2026</w:t>
      </w:r>
    </w:p>
    <w:p>
      <w:pPr>
        <w:sectPr>
          <w:pgSz w:w="12240" w:h="15840"/>
          <w:pgMar w:top="1701" w:right="1134" w:bottom="1701" w:left="2268" w:header="720" w:footer="720" w:gutter="0"/>
          <w:cols w:space="720"/>
          <w:docGrid w:linePitch="360"/>
        </w:sectPr>
      </w:pP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t>Actualice la tabla en Word.</w:t>
        <w:fldChar w:fldCharType="end"/>
      </w:r>
    </w:p>
    <w:p>
      <w:r>
        <w:t>Nota: al abrir el documento en Microsoft Word, debe actualizarse la tabla de contenido para reflejar la numeración definitiva.</w:t>
      </w:r>
    </w:p>
    <w:p>
      <w:r>
        <w:br w:type="page"/>
      </w:r>
    </w:p>
    <w:p>
      <w:pPr>
        <w:pStyle w:val="Heading1"/>
      </w:pPr>
      <w:r>
        <w:t>Presentación</w:t>
      </w:r>
    </w:p>
    <w:p>
      <w:r>
        <w:t>El presente manual técnico documenta la instalación, configuración, operación, mantenimiento y evolución del sistema web La Séptima Estrella. El documento se dirige a personal con formación técnica en desarrollo, soporte, administración de sistemas y bases de datos. Su propósito consiste en facilitar la comprensión integral del producto, su arquitectura y sus mecanismos de operación en un entorno académico o institucional.</w:t>
      </w:r>
    </w:p>
    <w:p>
      <w:pPr>
        <w:pStyle w:val="Heading1"/>
      </w:pPr>
      <w:r>
        <w:t>Resumen ejecutivo</w:t>
      </w:r>
    </w:p>
    <w:p>
      <w:r>
        <w:t>La Séptima Estrella es un sistema web de gestión operativa orientado al control de inventario, ventas, usuarios, reportes, auditoría, respaldos y analítica con apoyo de inteligencia artificial. La solución adopta una arquitectura web cliente-servidor con una interfaz en HTML, CSS y JavaScript, un backend monolítico modularizado sobre Flask y una base de datos relacional MySQL. El manual se estructura en seis capítulos principales: requisitos, diagramas, aspectos técnicos del desarrollo, instalación, requerimientos de operación y referencias. Cada capítulo permite al lector técnico comprender la solución desde la infraestructura mínima hasta su mantenimiento evolutivo.</w:t>
      </w:r>
    </w:p>
    <w:p>
      <w:pPr>
        <w:pStyle w:val="Heading1"/>
      </w:pPr>
      <w:r>
        <w:t>Finalidad del manual</w:t>
      </w:r>
    </w:p>
    <w:p>
      <w:pPr>
        <w:pStyle w:val="ListBullet"/>
      </w:pPr>
      <w:r>
        <w:t>Capacitar al personal técnico sobre instalación y puesta en marcha.</w:t>
      </w:r>
    </w:p>
    <w:p>
      <w:pPr>
        <w:pStyle w:val="ListBullet"/>
      </w:pPr>
      <w:r>
        <w:t>Servir como referencia de mantenimiento correctivo y evolutivo.</w:t>
      </w:r>
    </w:p>
    <w:p>
      <w:pPr>
        <w:pStyle w:val="ListBullet"/>
      </w:pPr>
      <w:r>
        <w:t>Documentar la estructura lógica, los módulos y el modelo de datos.</w:t>
      </w:r>
    </w:p>
    <w:p>
      <w:pPr>
        <w:pStyle w:val="ListBullet"/>
      </w:pPr>
      <w:r>
        <w:t>Estandarizar procedimientos de respaldo, restauración y contingencia.</w:t>
      </w:r>
    </w:p>
    <w:p>
      <w:pPr>
        <w:pStyle w:val="Heading1"/>
      </w:pPr>
      <w:r>
        <w:t>Introducción</w:t>
      </w:r>
    </w:p>
    <w:p>
      <w:r>
        <w:t>El documento se organiza siguiendo el instructivo oficial suministrado para manuales técnicos. En el primer capítulo se exponen requisitos de hardware, software y contingencia. El segundo capítulo presenta diagramas útiles para comprender la arquitectura, la navegación y el modelo de datos. El tercero describe la capa de presentación, la capa de servicios, la base de datos y los mecanismos de seguridad. El cuarto capítulo detalla la instalación del sistema y sus servicios complementarios. El quinto expone requerimientos operativos y recomendaciones de escalabilidad. Finalmente, el sexto capítulo reúne referencias técnicas consultadas para el desarrollo y la validación del sistema.</w:t>
      </w:r>
    </w:p>
    <w:p>
      <w:pPr>
        <w:pStyle w:val="Heading1"/>
      </w:pPr>
      <w:r>
        <w:t>1. Requisitos del sistema</w:t>
      </w:r>
    </w:p>
    <w:p>
      <w:pPr>
        <w:pStyle w:val="Heading2"/>
      </w:pPr>
      <w:r>
        <w:t>1.1 Requisitos de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rFonts w:ascii="Arial" w:hAnsi="Arial"/>
                <w:sz w:val="21"/>
              </w:rPr>
              <w:t>Nivel</w:t>
            </w:r>
          </w:p>
        </w:tc>
        <w:tc>
          <w:tcPr>
            <w:tcW w:type="dxa" w:w="1768"/>
          </w:tcPr>
          <w:p>
            <w:r>
              <w:rPr>
                <w:rFonts w:ascii="Arial" w:hAnsi="Arial"/>
                <w:sz w:val="21"/>
              </w:rPr>
              <w:t>Procesador</w:t>
            </w:r>
          </w:p>
        </w:tc>
        <w:tc>
          <w:tcPr>
            <w:tcW w:type="dxa" w:w="1768"/>
          </w:tcPr>
          <w:p>
            <w:r>
              <w:rPr>
                <w:rFonts w:ascii="Arial" w:hAnsi="Arial"/>
                <w:sz w:val="21"/>
              </w:rPr>
              <w:t>Memoria RAM</w:t>
            </w:r>
          </w:p>
        </w:tc>
        <w:tc>
          <w:tcPr>
            <w:tcW w:type="dxa" w:w="1768"/>
          </w:tcPr>
          <w:p>
            <w:r>
              <w:rPr>
                <w:rFonts w:ascii="Arial" w:hAnsi="Arial"/>
                <w:sz w:val="21"/>
              </w:rPr>
              <w:t>Almacenamiento</w:t>
            </w:r>
          </w:p>
        </w:tc>
        <w:tc>
          <w:tcPr>
            <w:tcW w:type="dxa" w:w="1768"/>
          </w:tcPr>
          <w:p>
            <w:r>
              <w:rPr>
                <w:rFonts w:ascii="Arial" w:hAnsi="Arial"/>
                <w:sz w:val="21"/>
              </w:rPr>
              <w:t>Observación</w:t>
            </w:r>
          </w:p>
        </w:tc>
      </w:tr>
      <w:tr>
        <w:tc>
          <w:tcPr>
            <w:tcW w:type="dxa" w:w="1768"/>
          </w:tcPr>
          <w:p>
            <w:r>
              <w:rPr>
                <w:rFonts w:ascii="Arial" w:hAnsi="Arial"/>
                <w:sz w:val="21"/>
              </w:rPr>
              <w:t>Mínimo</w:t>
            </w:r>
          </w:p>
        </w:tc>
        <w:tc>
          <w:tcPr>
            <w:tcW w:type="dxa" w:w="1768"/>
          </w:tcPr>
          <w:p>
            <w:r>
              <w:rPr>
                <w:rFonts w:ascii="Arial" w:hAnsi="Arial"/>
                <w:sz w:val="21"/>
              </w:rPr>
              <w:t>Intel i3 / Ryzen 3 o equivalente</w:t>
            </w:r>
          </w:p>
        </w:tc>
        <w:tc>
          <w:tcPr>
            <w:tcW w:type="dxa" w:w="1768"/>
          </w:tcPr>
          <w:p>
            <w:r>
              <w:rPr>
                <w:rFonts w:ascii="Arial" w:hAnsi="Arial"/>
                <w:sz w:val="21"/>
              </w:rPr>
              <w:t>8 GB</w:t>
            </w:r>
          </w:p>
        </w:tc>
        <w:tc>
          <w:tcPr>
            <w:tcW w:type="dxa" w:w="1768"/>
          </w:tcPr>
          <w:p>
            <w:r>
              <w:rPr>
                <w:rFonts w:ascii="Arial" w:hAnsi="Arial"/>
                <w:sz w:val="21"/>
              </w:rPr>
              <w:t>2 GB libres para proyecto y snapshots</w:t>
            </w:r>
          </w:p>
        </w:tc>
        <w:tc>
          <w:tcPr>
            <w:tcW w:type="dxa" w:w="1768"/>
          </w:tcPr>
          <w:p>
            <w:r>
              <w:rPr>
                <w:rFonts w:ascii="Arial" w:hAnsi="Arial"/>
                <w:sz w:val="21"/>
              </w:rPr>
              <w:t>Adecuado para entorno académico o de pruebas.</w:t>
            </w:r>
          </w:p>
        </w:tc>
      </w:tr>
      <w:tr>
        <w:tc>
          <w:tcPr>
            <w:tcW w:type="dxa" w:w="1768"/>
          </w:tcPr>
          <w:p>
            <w:r>
              <w:rPr>
                <w:rFonts w:ascii="Arial" w:hAnsi="Arial"/>
                <w:sz w:val="21"/>
              </w:rPr>
              <w:t>Recomendado</w:t>
            </w:r>
          </w:p>
        </w:tc>
        <w:tc>
          <w:tcPr>
            <w:tcW w:type="dxa" w:w="1768"/>
          </w:tcPr>
          <w:p>
            <w:r>
              <w:rPr>
                <w:rFonts w:ascii="Arial" w:hAnsi="Arial"/>
                <w:sz w:val="21"/>
              </w:rPr>
              <w:t>Intel i5 / Ryzen 5 o superior</w:t>
            </w:r>
          </w:p>
        </w:tc>
        <w:tc>
          <w:tcPr>
            <w:tcW w:type="dxa" w:w="1768"/>
          </w:tcPr>
          <w:p>
            <w:r>
              <w:rPr>
                <w:rFonts w:ascii="Arial" w:hAnsi="Arial"/>
                <w:sz w:val="21"/>
              </w:rPr>
              <w:t>16 GB</w:t>
            </w:r>
          </w:p>
        </w:tc>
        <w:tc>
          <w:tcPr>
            <w:tcW w:type="dxa" w:w="1768"/>
          </w:tcPr>
          <w:p>
            <w:r>
              <w:rPr>
                <w:rFonts w:ascii="Arial" w:hAnsi="Arial"/>
                <w:sz w:val="21"/>
              </w:rPr>
              <w:t>10 GB libres</w:t>
            </w:r>
          </w:p>
        </w:tc>
        <w:tc>
          <w:tcPr>
            <w:tcW w:type="dxa" w:w="1768"/>
          </w:tcPr>
          <w:p>
            <w:r>
              <w:rPr>
                <w:rFonts w:ascii="Arial" w:hAnsi="Arial"/>
                <w:sz w:val="21"/>
              </w:rPr>
              <w:t>Mejor respuesta para pruebas, entrenamiento y Docker.</w:t>
            </w:r>
          </w:p>
        </w:tc>
      </w:tr>
    </w:tbl>
    <w:p>
      <w:pPr>
        <w:pStyle w:val="Heading2"/>
      </w:pPr>
      <w:r>
        <w:t>1.2 Requisitos de 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Componente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Versión o referencia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Uso dentro del sistema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Sistema operativo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Windows 10/11, Linux o WSL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Ejecución local del proyecto.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Python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3.12 o superior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Backend Flask, scripts y pruebas.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Node.js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Solo para chequeos del frontend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Validaciones y smoke checks complementarios.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MySQL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8.x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Persistencia principal del sistema.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Docker Desktop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Opcional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Despliegue simplificado con app + MySQL.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Navegador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Chrome, Edge o equivalente moderno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Consumo de la interfaz web.</w:t>
            </w:r>
          </w:p>
        </w:tc>
      </w:tr>
    </w:tbl>
    <w:p>
      <w:r>
        <w:t>Dependencias destacadas del proyecto:</w:t>
      </w:r>
    </w:p>
    <w:p>
      <w:pPr>
        <w:pStyle w:val="ListBullet"/>
      </w:pPr>
      <w:r>
        <w:t>Flask y Flask-Cors para el backend HTTP.</w:t>
      </w:r>
    </w:p>
    <w:p>
      <w:pPr>
        <w:pStyle w:val="ListBullet"/>
      </w:pPr>
      <w:r>
        <w:t>PyMySQL para acceso a MySQL.</w:t>
      </w:r>
    </w:p>
    <w:p>
      <w:pPr>
        <w:pStyle w:val="ListBullet"/>
      </w:pPr>
      <w:r>
        <w:t>pandas, numpy y scikit-learn para analítica y pronóstico.</w:t>
      </w:r>
    </w:p>
    <w:p>
      <w:pPr>
        <w:pStyle w:val="ListBullet"/>
      </w:pPr>
      <w:r>
        <w:t>fpdf2 y openpyxl para exportación de reportes.</w:t>
      </w:r>
    </w:p>
    <w:p>
      <w:pPr>
        <w:pStyle w:val="ListBullet"/>
      </w:pPr>
      <w:r>
        <w:t>python-dotenv para configuración por entorno.</w:t>
      </w:r>
    </w:p>
    <w:p>
      <w:pPr>
        <w:pStyle w:val="Heading2"/>
      </w:pPr>
      <w:r>
        <w:t>1.3 Configuraciones previas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Variable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Propósito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Observación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DB_HOST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Host de MySQL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127.0.0.1 en instalación local o mysql en Docker.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DB_USER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Usuario de base de datos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Cuenta con permisos de lectura y escritura sobre la base.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DB_PASSWORD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Contraseña de base de datos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Debe cambiarse antes de entrega o despliegue.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DB_NAME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Nombre del esquema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Por defecto la_septima_estrella.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APP_SECRET_KEY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Clave de firma de sesión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Debe ser larga, única y mantenerse fuera del código.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FLASK_DEBUG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Modo depuración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En entrega se mantiene en 0.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SESSION_IDLE_TIMEOUT_MINUTES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Tiempo máximo de inactividad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Controla la expiración por inactividad.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SESSION_MAX_AGE_DAYS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Edad máxima de la sesión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Límite de vigencia continua de la sesión.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DEFAULT_ADMIN_PASSWORD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Clave semilla del administrador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Solo se usa en bootstrap; debe cambiarse.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DEFAULT_VENDOR_PASSWORD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Clave semilla del vendedor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Solo se usa en bootstrap; debe cambiarse.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AI_ENGINE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Motor del asistente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Puede usar OpenAI, Ollama o heurística local.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AI_DEMAND_MODEL_PATH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Ruta del modelo IA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Apunta al modelo entrenado de pronóstico de demanda.</w:t>
            </w:r>
          </w:p>
        </w:tc>
      </w:tr>
    </w:tbl>
    <w:p>
      <w:pPr>
        <w:pStyle w:val="Heading2"/>
      </w:pPr>
      <w:r>
        <w:t>1.4 Portabilidad y adaptabilidad</w:t>
      </w:r>
    </w:p>
    <w:p>
      <w:r>
        <w:t>El sistema puede ejecutarse en entorno local tradicional o en contenedores Docker. La aplicación se apoya en variables de entorno para desacoplar configuraciones sensibles, lo que facilita su adaptación entre equipos de desarrollo, entornos de evaluación y despliegues controlados. El proyecto también incluye scripts de bootstrap, instalación automatizada y sincronización del catálogo, lo que reduce la dependencia de configuraciones manuales repetitivas.</w:t>
      </w:r>
    </w:p>
    <w:p>
      <w:pPr>
        <w:pStyle w:val="Heading2"/>
      </w:pPr>
      <w:r>
        <w:t>1.5 Contingencia</w:t>
      </w:r>
    </w:p>
    <w:p>
      <w:pPr>
        <w:pStyle w:val="ListBullet"/>
      </w:pPr>
      <w:r>
        <w:t>El sistema genera snapshots manuales y automáticos en la carpeta backups/.</w:t>
      </w:r>
    </w:p>
    <w:p>
      <w:pPr>
        <w:pStyle w:val="ListBullet"/>
      </w:pPr>
      <w:r>
        <w:t>Cuando MySQL no está disponible, la aplicación puede cargar el último respaldo y operar en modo resiliente de solo lectura.</w:t>
      </w:r>
    </w:p>
    <w:p>
      <w:pPr>
        <w:pStyle w:val="ListBullet"/>
      </w:pPr>
      <w:r>
        <w:t>El módulo de respaldos permite descargar evidencia en JSON y PDF, así como restaurar el estado persistido.</w:t>
      </w:r>
    </w:p>
    <w:p>
      <w:pPr>
        <w:pStyle w:val="ListBullet"/>
      </w:pPr>
      <w:r>
        <w:t>Las migraciones de esquema se controlan mediante la tabla schema_migrations.</w:t>
      </w:r>
    </w:p>
    <w:p>
      <w:pPr>
        <w:pStyle w:val="Heading1"/>
      </w:pPr>
      <w:r>
        <w:t>2. Diagramas de modelamiento</w:t>
      </w:r>
    </w:p>
    <w:p>
      <w:r>
        <w:t>Conforme al instructivo, se incluyen diagramas que aportan valor para la comprensión del sistema. Cada representación se acompaña de una explicación breve sobre su propósito y relación con la solución desarrollada.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gen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Arquitectura general en capas del sistema</w:t>
      </w:r>
    </w:p>
    <w:p>
      <w:r>
        <w:t>La figura anterior resume la relación entre la interfaz web, el backend Flask, la persistencia relacional, el almacenamiento de respaldos y los servicios analíticos.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naveg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Mapa de navegación funcional del sistema</w:t>
      </w:r>
    </w:p>
    <w:p>
      <w:r>
        <w:t>El mapa de navegación facilita identificar la pantalla inicial, los módulos principales y la relación entre opciones del menú.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datos_resum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Resumen del modelo de datos relacional</w:t>
      </w:r>
    </w:p>
    <w:p>
      <w:r>
        <w:t>El diagrama resume las entidades más relevantes para ventas, inventario, sesiones y auditoría.</w:t>
      </w:r>
    </w:p>
    <w:p>
      <w:r>
        <w:drawing>
          <wp:inline xmlns:a="http://schemas.openxmlformats.org/drawingml/2006/main" xmlns:pic="http://schemas.openxmlformats.org/drawingml/2006/picture">
            <wp:extent cx="5486400" cy="29146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deshabilitacion_ven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4. Flujo controlado de deshabilitación de ventas</w:t>
      </w:r>
    </w:p>
    <w:p>
      <w:r>
        <w:t>Este flujo documenta una regla de negocio crítica: la venta no se elimina de la base, sino que se deshabilita con trazabilidad y restitución de stock.</w:t>
      </w:r>
    </w:p>
    <w:p>
      <w:pPr>
        <w:pStyle w:val="Heading1"/>
      </w:pPr>
      <w:r>
        <w:t>3. Aspectos técnicos del desarrollo del sistema</w:t>
      </w:r>
    </w:p>
    <w:p>
      <w:pPr>
        <w:pStyle w:val="Heading2"/>
      </w:pPr>
      <w:r>
        <w:t>3.1 Arquitectura del sistema</w:t>
      </w:r>
    </w:p>
    <w:p>
      <w:r>
        <w:t>La solución se implementa como una aplicación web con arquitectura cliente-servidor. Aunque el punto de entrada principal se mantiene en un backend monolítico, el código fue modularizado por responsabilidades para reducir acoplamiento y facilitar mantenimiento. La interfaz consume rutas internas tipo API y presenta la información en una experiencia tipo panel administrativo.</w:t>
      </w:r>
    </w:p>
    <w:p>
      <w:pPr>
        <w:pStyle w:val="Heading3"/>
      </w:pPr>
      <w:r>
        <w:t>a. Capa de presentación</w:t>
      </w:r>
    </w:p>
    <w:p>
      <w:r>
        <w:t>La capa de presentación utiliza HTML, CSS y JavaScript. Su objetivo consiste en mostrar información operativa, guiar al usuario por módulos definidos por permisos y consumir datos del backend mediante solicitudes HTTP. El frontend valida rangos de fechas, estados de formularios, exportaciones, errores operativos y sesiones expiradas.</w:t>
      </w:r>
    </w:p>
    <w:p>
      <w:r>
        <w:t>Relación de directorios de la capa de presentación: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Ruta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Descripción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src/frontend/index.html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Estructura principal de la aplicación.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src/frontend/app.js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Lógica de interacción, consumo API y renderizado.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src/frontend/style.css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Estilos visuales y diseño responsivo.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src/frontend/img/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Recursos gráficos de la interfaz.</w:t>
            </w:r>
          </w:p>
        </w:tc>
      </w:tr>
    </w:tbl>
    <w:p>
      <w:r>
        <w:t>Mapa de navegación o estructura del sistema:</w:t>
      </w:r>
    </w:p>
    <w:p>
      <w:pPr>
        <w:pStyle w:val="ListBullet"/>
      </w:pPr>
      <w:r>
        <w:t>Dashboard: Administrador, gerente y vendedor.</w:t>
      </w:r>
    </w:p>
    <w:p>
      <w:pPr>
        <w:pStyle w:val="ListBullet"/>
      </w:pPr>
      <w:r>
        <w:t>Registrar venta: Administrador, gerente y vendedor con permiso de ventas.</w:t>
      </w:r>
    </w:p>
    <w:p>
      <w:pPr>
        <w:pStyle w:val="ListBullet"/>
      </w:pPr>
      <w:r>
        <w:t>Productos: Todos los perfiles con consulta; solo administrador y gerente con gestión completa.</w:t>
      </w:r>
    </w:p>
    <w:p>
      <w:pPr>
        <w:pStyle w:val="ListBullet"/>
      </w:pPr>
      <w:r>
        <w:t>Reportes: Administrador, gerente y vendedor.</w:t>
      </w:r>
    </w:p>
    <w:p>
      <w:pPr>
        <w:pStyle w:val="ListBullet"/>
      </w:pPr>
      <w:r>
        <w:t>Estadísticas: Administrador y gerente.</w:t>
      </w:r>
    </w:p>
    <w:p>
      <w:pPr>
        <w:pStyle w:val="ListBullet"/>
      </w:pPr>
      <w:r>
        <w:t>Auditoría: Administrador y auditador.</w:t>
      </w:r>
    </w:p>
    <w:p>
      <w:pPr>
        <w:pStyle w:val="ListBullet"/>
      </w:pPr>
      <w:r>
        <w:t>Usuarios: Administrador y gerente.</w:t>
      </w:r>
    </w:p>
    <w:p>
      <w:pPr>
        <w:pStyle w:val="ListBullet"/>
      </w:pPr>
      <w:r>
        <w:t>Respaldos: Administrador y gerente.</w:t>
      </w:r>
    </w:p>
    <w:p>
      <w:pPr>
        <w:pStyle w:val="ListBullet"/>
      </w:pPr>
      <w:r>
        <w:t>Mi perfil: Todos los perfiles autenticados.</w:t>
      </w:r>
    </w:p>
    <w:p>
      <w:r>
        <w:t>Archivos de configuración relacionados con la presentación: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Archivo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Propósito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.env / .env.example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Define parámetros del entorno, seguridad y servicios.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package.json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Declara scripts de validación del frontend.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pyproject.toml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Configura herramientas de calidad del proyecto.</w:t>
            </w:r>
          </w:p>
        </w:tc>
      </w:tr>
    </w:tbl>
    <w:p>
      <w:pPr>
        <w:pStyle w:val="Heading3"/>
      </w:pPr>
      <w:r>
        <w:t>b. Capa de lógica y servicios</w:t>
      </w:r>
    </w:p>
    <w:p>
      <w:r>
        <w:t>La capa de lógica se encuentra sobre Flask y coordina autenticación, autorización, sesiones, ventas, productos, reportes, auditoría, respaldos y analítica. Las rutas se apoyan en módulos de analysis, utils, ai y db para encapsular responsabilidades concretas. El backend controla transacciones al registrar ventas, aplica auditoría ante acciones sensibles y valida permisos por rol antes de resolver una operación.</w:t>
      </w:r>
    </w:p>
    <w:p>
      <w:r>
        <w:t>Estructura técnica relevante del proyecto: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Ruta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Responsabilidad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src/main.py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Punto de entrada Flask, registro de rutas, bootstrap y migraciones.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src/frontend/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Capa de presentación: HTML, CSS y JavaScript de la interfaz web.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src/analysis/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Lógica analítica de reportes, auditoría, dashboard y detalle de ventas.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src/ai/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Motor del asistente, generación de features y pronóstico de demanda.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src/db/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Gestión de roles, permisos y utilidades de esquema.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src/utils/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Autenticación, sesiones, seguridad, respaldos y utilidades transversales.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src/data/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Carga de ventas, datos demo y transformaciones de apoyo.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scripts/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Automatizaciones de instalación, calidad, smoke tests y entrenamiento.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tests/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Pruebas automatizadas funcionales, de permisos, sesiones y analítica.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docs/manuales/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Salidas documentales, referencias y recursos visuales.</w:t>
            </w:r>
          </w:p>
        </w:tc>
      </w:tr>
    </w:tbl>
    <w:p>
      <w:r>
        <w:t>Principales endpoints internos del sistema: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Método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Ruta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Finalidad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Acceso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POST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/api/login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Autenticar usuario y abrir sesión controlada.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Público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POST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/api/logout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Cerrar sesión activa.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Usuario autenticado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GET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/api/dashboard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Consultar indicadores operativos.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Permiso dashboard_view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GET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/api/productos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Consultar catálogo e inventario.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Permiso products_view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POST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/api/ventas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Registrar venta y descontar stock.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Permiso sales_create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GET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/api/ventas/&lt;id&gt;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Consultar detalle de una venta.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Permiso sales_view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POST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/api/ventas/&lt;id&gt;/autorizar-deshabilitacion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Habilitar deshabilitación controlada.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Gerente o admin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POST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/api/ventas/&lt;id&gt;/deshabilitar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Deshabilitar venta autorizada o directa.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Vendedor autorizado o admin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GET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/api/reportes/ventas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Consultar reporte de ventas por periodo.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Permiso reports_view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GET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/api/reportes/ventas/export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Exportar reporte en PDF o Excel.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Permiso reports_view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GET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/api/estadisticas/productos-mas-vendidos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Obtener estadísticas del periodo.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Permiso statistics_view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GET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/api/auditoria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Consultar eventos de trazabilidad.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Permiso audit_view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GET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/api/backups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Listar respaldos disponibles.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Permiso backups_manage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POST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/api/backups/manual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Generar respaldo manual del sistema.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Permiso backups_manage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POST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/api/backups/restore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Restaurar snapshot controlado.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Permiso backups_manage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GET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/api/ia/pronostico-demanda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Calcular demanda, cobertura y compra sugerida.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Permiso statistics_view</w:t>
            </w:r>
          </w:p>
        </w:tc>
      </w:tr>
      <w:tr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POST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/api/ia/chat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Consultar al asistente operativo.</w:t>
            </w:r>
          </w:p>
        </w:tc>
        <w:tc>
          <w:tcPr>
            <w:tcW w:type="dxa" w:w="2209"/>
          </w:tcPr>
          <w:p>
            <w:r>
              <w:rPr>
                <w:rFonts w:ascii="Arial" w:hAnsi="Arial"/>
                <w:sz w:val="21"/>
              </w:rPr>
              <w:t>Permiso ai_chat</w:t>
            </w:r>
          </w:p>
        </w:tc>
      </w:tr>
    </w:tbl>
    <w:p>
      <w:pPr>
        <w:pStyle w:val="Heading3"/>
      </w:pPr>
      <w:r>
        <w:t>c. Capa de base de datos</w:t>
      </w:r>
    </w:p>
    <w:p>
      <w:r>
        <w:t>La persistencia principal se implementa en una base de datos relacional MySQL. El diseño utiliza claves primarias y foráneas para garantizar integridad referencial entre usuarios, ventas, detalle de ventas, productos, movimientos de inventario, auditoría y sesiones. Las migraciones incrementales permiten adaptar el esquema sin reconstruir la base manualmente.</w:t>
      </w:r>
    </w:p>
    <w:p>
      <w:r>
        <w:t>Diccionario de datos resumido: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Tabla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Descripción funcional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usuarios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Credenciales, rol y estado operativo de cada cuenta.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roles_permisos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Matriz de permisos por rol parametrizable.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sesiones_activas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Control de tokens, actividad reciente y revocación.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productos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Catálogo, precio, IVA, stock, mínimo y soporte de imagen.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inventario_movimientos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Trazabilidad de entradas, salidas y ajustes de stock.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ventas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Encabezado de venta, usuario, pago, total y estado de deshabilitación.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venta_detalle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Líneas de producto por venta con cantidad, precio e IVA.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venta_recomendaciones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Sugerencias de restock y combos ligadas a una venta.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producto_precio_auditoria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Historial de cambios de precio y responsable.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auditoria_eventos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Registro cronológico de acciones críticas del sistema.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schema_migrations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Control de migraciones de esquema aplicadas.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configuracion_app / sistema_configuracion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sz w:val="21"/>
              </w:rPr>
              <w:t>Parámetros operativos persistentes.</w:t>
            </w:r>
          </w:p>
        </w:tc>
      </w:tr>
    </w:tbl>
    <w:p>
      <w:pPr>
        <w:pStyle w:val="Heading2"/>
      </w:pPr>
      <w:r>
        <w:t>3.2 Seguridad, validaciones y trazabilidad</w:t>
      </w:r>
    </w:p>
    <w:p>
      <w:pPr>
        <w:pStyle w:val="ListBullet"/>
      </w:pPr>
      <w:r>
        <w:t>Las contraseñas se almacenan con PBKDF2-SHA256 y el sistema puede migrar hashes antiguos al iniciar sesión.</w:t>
      </w:r>
    </w:p>
    <w:p>
      <w:pPr>
        <w:pStyle w:val="ListBullet"/>
      </w:pPr>
      <w:r>
        <w:t>La sesión expira por inactividad y por edad máxima configurada.</w:t>
      </w:r>
    </w:p>
    <w:p>
      <w:pPr>
        <w:pStyle w:val="ListBullet"/>
      </w:pPr>
      <w:r>
        <w:t>Existe bloqueo temporal ante múltiples intentos fallidos de autenticación.</w:t>
      </w:r>
    </w:p>
    <w:p>
      <w:pPr>
        <w:pStyle w:val="ListBullet"/>
      </w:pPr>
      <w:r>
        <w:t>Las rutas verifican permisos funcionales por rol antes de responder.</w:t>
      </w:r>
    </w:p>
    <w:p>
      <w:pPr>
        <w:pStyle w:val="ListBullet"/>
      </w:pPr>
      <w:r>
        <w:t>Los cambios de precio, respaldos, aperturas y cierres de sesión, y la deshabilitación de ventas quedan registrados en auditoría.</w:t>
      </w:r>
    </w:p>
    <w:p>
      <w:pPr>
        <w:pStyle w:val="Heading2"/>
      </w:pPr>
      <w:r>
        <w:t>3.3 Inteligencia artificial y pronóstico de demanda</w:t>
      </w:r>
    </w:p>
    <w:p>
      <w:r>
        <w:t>El módulo de inteligencia artificial utiliza un enfoque híbrido. Cuando existe un modelo entrenado, el backend carga un RandomForestRegressor persistido en models/demand_model.joblib. Cuando no existe modelo o los datos son insuficientes, el sistema recurre a una heurística controlada basada en histórico y ventana temporal real. El resultado incluye pronóstico de demanda, promedio diario, cobertura, riesgo de quiebre y compra sugerida por producto. El frontend presenta estos indicadores en la sección de estadísticas, junto con métricas de calidad del modelo cuando están disponibles.</w:t>
      </w:r>
    </w:p>
    <w:p>
      <w:pPr>
        <w:pStyle w:val="Heading2"/>
      </w:pPr>
      <w:r>
        <w:t>3.4 Pruebas y control de calidad</w:t>
      </w:r>
    </w:p>
    <w:p>
      <w:r>
        <w:t>La verificación del sistema se apoya en pruebas automatizadas, revisión estática del código y smoke tests de interfaz. A la fecha de elaboración del manual, la base de validación reporta 106 pruebas exitosas, ruff sin hallazgos y chequeo de frontend satisfactorio.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Actividad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Resultado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Observación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Pruebas automatizadas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106 pruebas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Cobertura de autenticación, ventas, permisos, reportes, IA y respaldos.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Lint Python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ruff limpio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Sin hallazgos pendientes en la revisión estática.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Chequeo frontend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Frontend JS OK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Validación sintáctica del código JavaScript.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Smoke tests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Playwright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Recorrido automatizado sobre login y módulos principales.</w:t>
            </w:r>
          </w:p>
        </w:tc>
      </w:tr>
    </w:tbl>
    <w:p>
      <w:pPr>
        <w:pStyle w:val="Heading1"/>
      </w:pPr>
      <w:r>
        <w:t>4. Instalación del sistema y servicios</w:t>
      </w:r>
    </w:p>
    <w:p>
      <w:pPr>
        <w:pStyle w:val="Heading2"/>
      </w:pPr>
      <w:r>
        <w:t>4.1 Instalación del sistema</w:t>
      </w:r>
    </w:p>
    <w:p>
      <w:r>
        <w:t>Ruta recomendada de instalación en Windows:</w:t>
      </w:r>
    </w:p>
    <w:p>
      <w:pPr>
        <w:pStyle w:val="ListNumber"/>
      </w:pPr>
      <w:r>
        <w:t>Copiar el proyecto completo al equipo objetivo.</w:t>
      </w:r>
    </w:p>
    <w:p>
      <w:pPr>
        <w:pStyle w:val="ListNumber"/>
      </w:pPr>
      <w:r>
        <w:t>Ejecutar scripts/install_windows.ps1 para crear el entorno virtual e instalar dependencias.</w:t>
      </w:r>
    </w:p>
    <w:p>
      <w:pPr>
        <w:pStyle w:val="ListNumber"/>
      </w:pPr>
      <w:r>
        <w:t>Copiar .env.example a .env y definir credenciales de MySQL, APP_SECRET_KEY y contraseñas semilla.</w:t>
      </w:r>
    </w:p>
    <w:p>
      <w:pPr>
        <w:pStyle w:val="ListNumber"/>
      </w:pPr>
      <w:r>
        <w:t>Ejecutar .\.venv\Scripts\python.exe src\main.py bootstrap para inicializar tablas y usuarios base.</w:t>
      </w:r>
    </w:p>
    <w:p>
      <w:pPr>
        <w:pStyle w:val="ListNumber"/>
      </w:pPr>
      <w:r>
        <w:t>Iniciar la aplicación mediante scripts\run_app.bat o python src/main.py.</w:t>
      </w:r>
    </w:p>
    <w:p>
      <w:r>
        <w:t>Instalación manual alternativa (Linux/WSL):</w:t>
      </w:r>
    </w:p>
    <w:p>
      <w:pPr>
        <w:pStyle w:val="ListNumber"/>
      </w:pPr>
      <w:r>
        <w:t>Crear entorno virtual con python -m venv .venv.</w:t>
      </w:r>
    </w:p>
    <w:p>
      <w:pPr>
        <w:pStyle w:val="ListNumber"/>
      </w:pPr>
      <w:r>
        <w:t>Activar el entorno e instalar dependencias con pip install -r requirements.txt.</w:t>
      </w:r>
    </w:p>
    <w:p>
      <w:pPr>
        <w:pStyle w:val="ListNumber"/>
      </w:pPr>
      <w:r>
        <w:t>Configurar el archivo .env con valores válidos.</w:t>
      </w:r>
    </w:p>
    <w:p>
      <w:pPr>
        <w:pStyle w:val="ListNumber"/>
      </w:pPr>
      <w:r>
        <w:t>Ejecutar python src/main.py y validar el acceso web por el puerto 5000.</w:t>
      </w:r>
    </w:p>
    <w:p>
      <w:pPr>
        <w:pStyle w:val="Heading2"/>
      </w:pPr>
      <w:r>
        <w:t>4.2 Instalación de servicios</w:t>
      </w:r>
    </w:p>
    <w:p>
      <w:pPr>
        <w:pStyle w:val="ListBullet"/>
      </w:pPr>
      <w:r>
        <w:t>MySQL: debe existir un esquema la_septima_estrella y un usuario con permisos sobre él.</w:t>
      </w:r>
    </w:p>
    <w:p>
      <w:pPr>
        <w:pStyle w:val="ListBullet"/>
      </w:pPr>
      <w:r>
        <w:t>Docker: el proyecto incluye docker-compose.yml y Dockerfile para levantar aplicación y base de datos en conjunto.</w:t>
      </w:r>
    </w:p>
    <w:p>
      <w:pPr>
        <w:pStyle w:val="ListBullet"/>
      </w:pPr>
      <w:r>
        <w:t>Playwright: se usa para smoke tests del frontend cuando se requiere validación de navegación real.</w:t>
      </w:r>
    </w:p>
    <w:p>
      <w:r>
        <w:t>Errores comunes de instalación: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Situación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Causa probable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Acción correctiva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La aplicación no inicia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Variables .env incompletas o MySQL apagado.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Verificar DB_HOST, credenciales y servicio MySQL.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No se puede iniciar sesión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Usuarios semilla no creados.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Ejecutar bootstrap o setup_users.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No cargan reportes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Migraciones pendientes.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Ejecutar python src/main.py migrate.</w:t>
            </w:r>
          </w:p>
        </w:tc>
      </w:tr>
      <w:tr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Falla entrenamiento IA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No hay datos o falta modelo.</w:t>
            </w:r>
          </w:p>
        </w:tc>
        <w:tc>
          <w:tcPr>
            <w:tcW w:type="dxa" w:w="2946"/>
          </w:tcPr>
          <w:p>
            <w:r>
              <w:rPr>
                <w:rFonts w:ascii="Arial" w:hAnsi="Arial"/>
                <w:sz w:val="21"/>
              </w:rPr>
              <w:t>Usar CSV demo o ejecutar setup_demo_ai.</w:t>
            </w:r>
          </w:p>
        </w:tc>
      </w:tr>
    </w:tbl>
    <w:p>
      <w:pPr>
        <w:pStyle w:val="Heading1"/>
      </w:pPr>
      <w:r>
        <w:t>5. Requerimientos de hardware para operación</w:t>
      </w:r>
    </w:p>
    <w:p>
      <w:r>
        <w:t>Para operación continua se recomienda un equipo con procesador de cuatro núcleos, 16 GB de RAM, almacenamiento SSD y sistema operativo estable. En entornos con varios usuarios simultáneos conviene separar la base de datos del proceso web y calendarizar respaldos automáticos. El sistema puede crecer de forma controlada mediante contenedores, ajuste de la base de datos y eventual división del backend en servicios especializados.</w:t>
      </w:r>
    </w:p>
    <w:p>
      <w:pPr>
        <w:pStyle w:val="Heading1"/>
      </w:pPr>
      <w:r>
        <w:t>6. Bibliografía</w:t>
      </w:r>
    </w:p>
    <w:p>
      <w:pPr>
        <w:pStyle w:val="ListBullet"/>
      </w:pPr>
      <w:r>
        <w:t>Pallets. (2026). Flask Documentation. https://flask.palletsprojects.com/</w:t>
      </w:r>
    </w:p>
    <w:p>
      <w:pPr>
        <w:pStyle w:val="ListBullet"/>
      </w:pPr>
      <w:r>
        <w:t>PyMySQL Project. (2026). PyMySQL Documentation. https://pymysql.readthedocs.io/</w:t>
      </w:r>
    </w:p>
    <w:p>
      <w:pPr>
        <w:pStyle w:val="ListBullet"/>
      </w:pPr>
      <w:r>
        <w:t>pandas Development Team. (2026). pandas documentation. https://pandas.pydata.org/docs/</w:t>
      </w:r>
    </w:p>
    <w:p>
      <w:pPr>
        <w:pStyle w:val="ListBullet"/>
      </w:pPr>
      <w:r>
        <w:t>scikit-learn developers. (2026). scikit-learn documentation. https://scikit-learn.org/stable/</w:t>
      </w:r>
    </w:p>
    <w:p>
      <w:pPr>
        <w:pStyle w:val="ListBullet"/>
      </w:pPr>
      <w:r>
        <w:t>Docker Inc. (2026). Docker Documentation. https://docs.docker.com/</w:t>
      </w:r>
    </w:p>
    <w:p>
      <w:pPr>
        <w:pStyle w:val="ListBullet"/>
      </w:pPr>
      <w:r>
        <w:t>Microsoft. (2026). Playwright Documentation. https://playwright.dev/python/</w:t>
      </w:r>
    </w:p>
    <w:sectPr w:rsidR="00FC693F" w:rsidRPr="0006063C" w:rsidSect="00034616">
      <w:footerReference w:type="default" r:id="rId9"/>
      <w:pgSz w:w="12240" w:h="15840"/>
      <w:pgMar w:top="1701" w:right="1134" w:bottom="1701" w:left="2268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t xml:space="preserve">Página </w:t>
    </w:r>
    <w:r>
      <w:rPr>
        <w:rFonts w:ascii="Arial" w:hAnsi="Arial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