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1C" w:rsidRDefault="0043452C" w:rsidP="00323B43">
      <w:pPr>
        <w:rPr>
          <w:rFonts w:eastAsia="新細明體"/>
          <w:sz w:val="15"/>
          <w:szCs w:val="15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*</m:t>
          </m:r>
          <m:r>
            <m:rPr>
              <m:sty m:val="p"/>
            </m:rPr>
            <w:rPr>
              <w:rFonts w:ascii="Cambria Math" w:eastAsia="新細明體" w:hAnsi="Cambria Math" w:hint="eastAsia"/>
              <w:lang w:eastAsia="zh-TW"/>
            </w:rPr>
            <m:t>正弦定理</m:t>
          </m:r>
          <m:d>
            <m:dPr>
              <m:ctrlPr>
                <w:rPr>
                  <w:rFonts w:ascii="Cambria Math" w:eastAsia="新細明體" w:hAnsi="Cambria Math"/>
                  <w:sz w:val="15"/>
                  <w:szCs w:val="15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="新細明體" w:hAnsi="Cambria Math"/>
                      <w:sz w:val="15"/>
                      <w:szCs w:val="15"/>
                      <w:lang w:eastAsia="zh-TW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 w:val="15"/>
                      <w:szCs w:val="15"/>
                      <w:lang w:eastAsia="zh-TW"/>
                    </w:rPr>
                    <m:t>大角對大邊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 w:val="15"/>
                      <w:szCs w:val="15"/>
                      <w:lang w:eastAsia="zh-TW"/>
                    </w:rPr>
                    <m:t>小角對小邊</m:t>
                  </m:r>
                </m:e>
              </m:eqArr>
            </m:e>
          </m:d>
        </m:oMath>
      </m:oMathPara>
    </w:p>
    <w:p w:rsidR="0043452C" w:rsidRDefault="00BD5DBA" w:rsidP="00323B43">
      <w:pPr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5.9pt;margin-top:14.25pt;width:165.25pt;height:100pt;z-index:251660288;mso-width-percent:400;mso-width-percent:400;mso-width-relative:margin;mso-height-relative:margin">
            <v:textbox>
              <w:txbxContent>
                <w:p w:rsidR="0043452C" w:rsidRPr="00F32EA2" w:rsidRDefault="00F32EA2">
                  <w:pPr>
                    <w:rPr>
                      <w:sz w:val="18"/>
                      <w:lang w:eastAsia="zh-TW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h=b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=c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</m:t>
                          </m:r>
                        </m:e>
                      </m:func>
                    </m:oMath>
                  </m:oMathPara>
                </w:p>
                <w:p w:rsidR="00F32EA2" w:rsidRPr="00A65EA4" w:rsidRDefault="00A65EA4">
                  <m:oMathPara>
                    <m:oMath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B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C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oMath>
                  </m:oMathPara>
                </w:p>
                <w:p w:rsidR="00A65EA4" w:rsidRPr="00A65EA4" w:rsidRDefault="00A65EA4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int="eastAsia"/>
                          <w:lang w:eastAsia="zh-TW"/>
                        </w:rPr>
                        <m:t>推廣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  <m:ctrlPr>
                            <w:rPr>
                              <w:rFonts w:ascii="Cambria Math" w:eastAsia="新細明體" w:hAnsi="Cambria Math"/>
                              <w:i/>
                              <w:lang w:eastAsia="zh-TW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B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C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43452C">
        <w:rPr>
          <w:rFonts w:eastAsia="新細明體" w:hint="eastAsia"/>
          <w:noProof/>
        </w:rPr>
        <w:drawing>
          <wp:inline distT="0" distB="0" distL="0" distR="0">
            <wp:extent cx="2409286" cy="1509863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17" cy="151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6F" w:rsidRDefault="0090646F" w:rsidP="00323B43">
      <w:pPr>
        <w:rPr>
          <w:rFonts w:eastAsia="新細明體" w:hint="eastAsia"/>
          <w:lang w:eastAsia="zh-TW"/>
        </w:rPr>
      </w:pPr>
      <w:r w:rsidRPr="0090646F">
        <w:rPr>
          <w:rFonts w:eastAsia="新細明體"/>
          <w:noProof/>
          <w:lang w:eastAsia="zh-TW"/>
        </w:rPr>
        <w:pict>
          <v:shape id="_x0000_s1028" type="#_x0000_t202" style="position:absolute;margin-left:226.3pt;margin-top:38.2pt;width:165.25pt;height:103.55pt;z-index:251662336;mso-width-percent:400;mso-width-percent:400;mso-width-relative:margin;mso-height-relative:margin">
            <v:textbox style="mso-next-textbox:#_x0000_s1028">
              <w:txbxContent>
                <w:p w:rsidR="0090646F" w:rsidRPr="0090646F" w:rsidRDefault="0090646F">
                  <w:pPr>
                    <w:rPr>
                      <w:rFonts w:eastAsia="新細明體" w:hint="eastAsia"/>
                      <w:lang w:eastAsia="zh-TW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90°</m:t>
                              </m:r>
                            </m:e>
                          </m:func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  <m:ctrlPr>
                            <w:rPr>
                              <w:rFonts w:ascii="Cambria Math" w:eastAsia="新細明體" w:hAnsi="Cambria Math"/>
                              <w:i/>
                              <w:lang w:eastAsia="zh-TW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B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C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oMath>
                  </m:oMathPara>
                </w:p>
                <w:p w:rsidR="0090646F" w:rsidRDefault="0090646F">
                  <w:pPr>
                    <w:rPr>
                      <w:rFonts w:eastAsia="新細明體" w:hint="eastAsia"/>
                      <w:lang w:eastAsia="zh-TW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  <m:ctrlPr>
                            <w:rPr>
                              <w:rFonts w:ascii="Cambria Math" w:eastAsia="新細明體" w:hAnsi="Cambria Math"/>
                              <w:i/>
                              <w:lang w:eastAsia="zh-TW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B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C</m:t>
                              </m:r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=2R</m:t>
                      </m:r>
                    </m:oMath>
                  </m:oMathPara>
                </w:p>
                <w:p w:rsidR="0090646F" w:rsidRPr="0090646F" w:rsidRDefault="0090646F">
                  <w:pPr>
                    <w:rPr>
                      <w:oMath/>
                      <w:rFonts w:ascii="Cambria Math" w:eastAsia="新細明體" w:hAnsi="Cambria Math" w:hint="eastAsia"/>
                      <w:lang w:eastAsia="zh-TW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90°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="新細明體"/>
          <w:noProof/>
        </w:rPr>
        <w:drawing>
          <wp:inline distT="0" distB="0" distL="0" distR="0">
            <wp:extent cx="2452418" cy="2383355"/>
            <wp:effectExtent l="19050" t="0" r="50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68" cy="23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44" w:rsidRDefault="00EB3244" w:rsidP="00323B43">
      <w:pPr>
        <w:rPr>
          <w:rFonts w:eastAsia="新細明體"/>
          <w:lang w:eastAsia="zh-TW"/>
        </w:rPr>
      </w:pPr>
      <w:r w:rsidRPr="00EB3244">
        <w:rPr>
          <w:rFonts w:eastAsia="新細明體"/>
          <w:noProof/>
          <w:lang w:eastAsia="zh-TW"/>
        </w:rPr>
        <w:pict>
          <v:shape id="_x0000_s1030" type="#_x0000_t202" style="position:absolute;margin-left:226.7pt;margin-top:19pt;width:165.25pt;height:83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EB3244" w:rsidRDefault="00EB3244">
                  <w:pPr>
                    <w:rPr>
                      <w:rFonts w:eastAsia="新細明體" w:hint="eastAsia"/>
                      <w:lang w:eastAsia="zh-TW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lang w:eastAsia="zh-TW"/>
                        </w:rPr>
                        <m:t>內分比性質</m:t>
                      </m:r>
                    </m:oMath>
                  </m:oMathPara>
                </w:p>
                <w:p w:rsidR="00EB3244" w:rsidRDefault="00EB3244">
                  <w:pPr>
                    <w:rPr>
                      <w:rFonts w:eastAsia="新細明體" w:hint="eastAsia"/>
                      <w:lang w:eastAsia="zh-TW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AB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 xml:space="preserve"> :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AC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BD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 xml:space="preserve"> :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DC</m:t>
                          </m:r>
                        </m:e>
                      </m:acc>
                    </m:oMath>
                  </m:oMathPara>
                </w:p>
                <w:p w:rsidR="00EB3244" w:rsidRPr="00EB3244" w:rsidRDefault="00EB3244">
                  <w:pPr>
                    <w:rPr>
                      <w:rFonts w:eastAsia="新細明體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lang w:eastAsia="zh-TW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lang w:eastAsia="zh-TW"/>
                        </w:rPr>
                        <m:t>正弦定理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lang w:eastAsia="zh-TW"/>
                        </w:rPr>
                        <m:t>推廣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hint="eastAsia"/>
                          <w:lang w:eastAsia="zh-TW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="新細明體"/>
          <w:noProof/>
        </w:rPr>
        <w:drawing>
          <wp:inline distT="0" distB="0" distL="0" distR="0">
            <wp:extent cx="2659452" cy="1591549"/>
            <wp:effectExtent l="19050" t="0" r="7548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9" cy="15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Pr="00EB3244" w:rsidRDefault="00EB3244" w:rsidP="00EB3244">
      <w:pPr>
        <w:rPr>
          <w:rFonts w:eastAsia="新細明體"/>
          <w:lang w:eastAsia="zh-TW"/>
        </w:rPr>
      </w:pPr>
    </w:p>
    <w:p w:rsidR="00EB3244" w:rsidRDefault="00EB3244" w:rsidP="00EB3244">
      <w:pPr>
        <w:rPr>
          <w:rFonts w:eastAsia="新細明體" w:hint="eastAsia"/>
          <w:lang w:eastAsia="zh-TW"/>
        </w:rPr>
      </w:pPr>
    </w:p>
    <w:p w:rsidR="00EB3244" w:rsidRDefault="00EB3244" w:rsidP="00EB3244">
      <w:pPr>
        <w:rPr>
          <w:rFonts w:eastAsia="新細明體" w:hint="eastAsia"/>
          <w:lang w:eastAsia="zh-TW"/>
        </w:rPr>
      </w:pPr>
    </w:p>
    <w:p w:rsidR="00EB3244" w:rsidRDefault="00EB3244" w:rsidP="00EB3244">
      <w:pPr>
        <w:rPr>
          <w:rFonts w:eastAsia="新細明體" w:hint="eastAsia"/>
          <w:lang w:eastAsia="zh-TW"/>
        </w:rPr>
      </w:pPr>
    </w:p>
    <w:p w:rsidR="00EB3244" w:rsidRDefault="00EB3244" w:rsidP="00EB3244">
      <w:pPr>
        <w:rPr>
          <w:rFonts w:eastAsia="新細明體" w:hint="eastAsia"/>
          <w:sz w:val="15"/>
          <w:szCs w:val="15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w:lastRenderedPageBreak/>
            <m:t>*</m:t>
          </m:r>
          <m:r>
            <m:rPr>
              <m:sty m:val="p"/>
            </m:rPr>
            <w:rPr>
              <w:rFonts w:ascii="Cambria Math" w:eastAsia="新細明體" w:hAnsi="Cambria Math" w:hint="eastAsia"/>
              <w:lang w:eastAsia="zh-TW"/>
            </w:rPr>
            <m:t>餘弦定理</m:t>
          </m:r>
          <m:d>
            <m:dPr>
              <m:ctrlPr>
                <w:rPr>
                  <w:rFonts w:ascii="Cambria Math" w:eastAsia="新細明體" w:hAnsi="Cambria Math"/>
                  <w:sz w:val="15"/>
                  <w:szCs w:val="15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hint="eastAsia"/>
                  <w:sz w:val="15"/>
                  <w:szCs w:val="15"/>
                  <w:lang w:eastAsia="zh-TW"/>
                </w:rPr>
                <m:t>畢氏</m:t>
              </m:r>
              <m:r>
                <m:rPr>
                  <m:sty m:val="p"/>
                </m:rPr>
                <w:rPr>
                  <w:rFonts w:ascii="Cambria Math" w:eastAsia="新細明體" w:hAnsi="Cambria Math" w:hint="eastAsia"/>
                  <w:sz w:val="15"/>
                  <w:szCs w:val="15"/>
                  <w:lang w:eastAsia="zh-TW"/>
                </w:rPr>
                <m:t>定理推廣</m:t>
              </m:r>
            </m:e>
          </m:d>
        </m:oMath>
      </m:oMathPara>
    </w:p>
    <w:p w:rsidR="00EB3244" w:rsidRPr="00EB3244" w:rsidRDefault="00C5627B" w:rsidP="00EB3244">
      <w:pPr>
        <w:rPr>
          <w:rFonts w:eastAsia="新細明體"/>
          <w:lang w:eastAsia="zh-TW"/>
        </w:rPr>
      </w:pPr>
      <w:r w:rsidRPr="00C5627B">
        <w:rPr>
          <w:rFonts w:eastAsia="新細明體"/>
          <w:noProof/>
          <w:lang w:eastAsia="zh-TW"/>
        </w:rPr>
        <w:pict>
          <v:shape id="_x0000_s1031" type="#_x0000_t202" style="position:absolute;margin-left:228.3pt;margin-top:12.5pt;width:165.25pt;height:87.75pt;z-index:251666432;mso-width-percent:400;mso-width-percent:400;mso-width-relative:margin;mso-height-relative:margin">
            <v:textbox>
              <w:txbxContent>
                <w:p w:rsidR="00E718F2" w:rsidRPr="00E718F2" w:rsidRDefault="00E718F2">
                  <w:pPr>
                    <w:rPr>
                      <w:lang w:eastAsia="zh-TW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  <m:t>C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lang w:eastAsia="zh-T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lang w:eastAsia="zh-TW"/>
                                </w:rPr>
                                <m:t>a-b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lang w:eastAsia="zh-TW"/>
                                    </w:rPr>
                                    <m:t>C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718F2" w:rsidRPr="00E718F2" w:rsidRDefault="00E718F2">
                  <w:pPr>
                    <w:rPr>
                      <w:rFonts w:eastAsia="新細明體" w:hint="eastAsia"/>
                      <w:sz w:val="16"/>
                      <w:lang w:eastAsia="zh-TW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新細明體" w:hAnsi="Cambria Math"/>
                              <w:i/>
                              <w:sz w:val="16"/>
                              <w:lang w:eastAsia="zh-TW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</m:t>
                          </m:r>
                          <m:ctrlPr>
                            <w:rPr>
                              <w:rFonts w:ascii="Cambria Math" w:eastAsia="新細明體" w:hAnsi="Cambria Math"/>
                              <w:i/>
                              <w:sz w:val="16"/>
                              <w:lang w:eastAsia="zh-TW"/>
                            </w:rPr>
                          </m:ctrlPr>
                        </m:e>
                      </m:func>
                      <m: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ab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i/>
                              <w:sz w:val="16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</m:t>
                          </m:r>
                        </m:e>
                      </m:func>
                    </m:oMath>
                  </m:oMathPara>
                </w:p>
                <w:p w:rsidR="00E718F2" w:rsidRDefault="00E718F2">
                  <w:pPr>
                    <w:rPr>
                      <w:rFonts w:eastAsia="新細明體" w:hint="eastAsia"/>
                      <w:sz w:val="16"/>
                      <w:lang w:eastAsia="zh-TW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新細明體" w:hAnsi="Cambria Math"/>
                                  <w:i/>
                                  <w:sz w:val="16"/>
                                  <w:lang w:eastAsia="zh-TW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新細明體" w:hAnsi="Cambria Math"/>
                                  <w:i/>
                                  <w:sz w:val="16"/>
                                  <w:lang w:eastAsia="zh-TW"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新細明體" w:hAnsi="Cambria Math"/>
                                      <w:sz w:val="16"/>
                                      <w:lang w:eastAsia="zh-TW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/>
                                  <w:sz w:val="16"/>
                                  <w:lang w:eastAsia="zh-TW"/>
                                </w:rPr>
                                <m:t>C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sz w:val="16"/>
                          <w:lang w:eastAsia="zh-TW"/>
                        </w:rPr>
                        <m:t>ab</m:t>
                      </m:r>
                      <m:func>
                        <m:funcPr>
                          <m:ctrlPr>
                            <w:rPr>
                              <w:rFonts w:ascii="Cambria Math" w:eastAsia="新細明體" w:hAnsi="Cambria Math"/>
                              <w:i/>
                              <w:sz w:val="16"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sz w:val="16"/>
                              <w:lang w:eastAsia="zh-TW"/>
                            </w:rPr>
                            <m:t>C</m:t>
                          </m:r>
                        </m:e>
                      </m:func>
                    </m:oMath>
                  </m:oMathPara>
                </w:p>
                <w:p w:rsidR="00E718F2" w:rsidRPr="00E718F2" w:rsidRDefault="00E718F2">
                  <w:pPr>
                    <w:rPr>
                      <w:rFonts w:eastAsia="新細明體" w:hint="eastAsia"/>
                      <w:vertAlign w:val="subscript"/>
                      <w:lang w:eastAsia="zh-TW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vertAlign w:val="subscript"/>
                          <w:lang w:eastAsia="zh-TW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vertAlign w:val="subscript"/>
                          <w:lang w:eastAsia="zh-T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細明體" w:hAnsi="Cambria Math"/>
                              <w:vertAlign w:val="subscript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vertAlign w:val="subscript"/>
                          <w:lang w:eastAsia="zh-TW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Cambria Math"/>
                          <w:vertAlign w:val="subscript"/>
                          <w:lang w:eastAsia="zh-TW"/>
                        </w:rPr>
                        <m:t>2ab cos⁡C</m:t>
                      </m:r>
                    </m:oMath>
                  </m:oMathPara>
                </w:p>
              </w:txbxContent>
            </v:textbox>
          </v:shape>
        </w:pict>
      </w:r>
      <w:r w:rsidR="00EB3244">
        <w:rPr>
          <w:rFonts w:eastAsia="新細明體"/>
          <w:noProof/>
        </w:rPr>
        <w:drawing>
          <wp:inline distT="0" distB="0" distL="0" distR="0">
            <wp:extent cx="2435165" cy="1525902"/>
            <wp:effectExtent l="19050" t="0" r="32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15" cy="152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244" w:rsidRPr="00EB324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21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46091"/>
    <w:rsid w:val="000C4A8D"/>
    <w:rsid w:val="00246091"/>
    <w:rsid w:val="0030482F"/>
    <w:rsid w:val="00323B43"/>
    <w:rsid w:val="0036761C"/>
    <w:rsid w:val="003D37D8"/>
    <w:rsid w:val="0043452C"/>
    <w:rsid w:val="004358AB"/>
    <w:rsid w:val="008B7726"/>
    <w:rsid w:val="0090646F"/>
    <w:rsid w:val="00A3417A"/>
    <w:rsid w:val="00A65EA4"/>
    <w:rsid w:val="00A85972"/>
    <w:rsid w:val="00BD5DBA"/>
    <w:rsid w:val="00C3743E"/>
    <w:rsid w:val="00C5627B"/>
    <w:rsid w:val="00E718F2"/>
    <w:rsid w:val="00EB3244"/>
    <w:rsid w:val="00F3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09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460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60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5</cp:revision>
  <dcterms:created xsi:type="dcterms:W3CDTF">2018-02-12T05:56:00Z</dcterms:created>
  <dcterms:modified xsi:type="dcterms:W3CDTF">2018-02-12T12:38:00Z</dcterms:modified>
</cp:coreProperties>
</file>