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56A0"/>
          <w:sz w:val="52"/>
          <w:szCs w:val="52"/>
        </w:rPr>
        <w:t xml:space="preserve">SEO AUDIT REPORT</w:t>
      </w:r>
    </w:p>
    <w:p>
      <w:pPr>
        <w:spacing w:after="80" w:before="0"/>
      </w:pPr>
      <w:r>
        <w:rPr>
          <w:rFonts w:ascii="Arial" w:cs="Arial" w:eastAsia="Arial" w:hAnsi="Arial"/>
          <w:color w:val="555555"/>
          <w:sz w:val="30"/>
          <w:szCs w:val="30"/>
        </w:rPr>
        <w:t xml:space="preserve">taxpayersalliancepakistan.com</w:t>
      </w:r>
    </w:p>
    <w:p>
      <w:pPr>
        <w:spacing w:after="40" w:before="40"/>
      </w:pPr>
      <w:r>
        <w:rPr>
          <w:rFonts w:ascii="Arial" w:cs="Arial" w:eastAsia="Arial" w:hAnsi="Arial"/>
          <w:color w:val="555555"/>
          <w:sz w:val="22"/>
          <w:szCs w:val="22"/>
        </w:rPr>
        <w:t xml:space="preserve">Prepared for: Codex / Development Team</w:t>
      </w:r>
    </w:p>
    <w:p>
      <w:pPr>
        <w:spacing w:after="40" w:before="40"/>
      </w:pPr>
      <w:r>
        <w:rPr>
          <w:rFonts w:ascii="Arial" w:cs="Arial" w:eastAsia="Arial" w:hAnsi="Arial"/>
          <w:color w:val="555555"/>
          <w:sz w:val="22"/>
          <w:szCs w:val="22"/>
        </w:rPr>
        <w:t xml:space="preserve">Date: 5 June 2026</w:t>
      </w:r>
    </w:p>
    <w:p>
      <w:pPr>
        <w:spacing w:after="400" w:before="40"/>
      </w:pPr>
      <w:r>
        <w:rPr>
          <w:rFonts w:ascii="Arial" w:cs="Arial" w:eastAsia="Arial" w:hAnsi="Arial"/>
          <w:color w:val="555555"/>
          <w:sz w:val="22"/>
          <w:szCs w:val="22"/>
        </w:rPr>
        <w:t xml:space="preserve">Prepared by: TPAP SEO Audit (Claude / Anthropic)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CCCCCC" w:sz="1"/>
              <w:left w:val="single" w:color="1A56A0" w:sz="16"/>
              <w:bottom w:val="single" w:color="CCCCCC" w:sz="1"/>
              <w:right w:val="single" w:color="CCCCCC" w:sz="1"/>
            </w:tcBorders>
            <w:shd w:fill="D6E8F5" w:val="clear"/>
            <w:tcMar>
              <w:top w:type="dxa" w:w="160"/>
              <w:left w:type="dxa" w:w="280"/>
              <w:bottom w:type="dxa" w:w="160"/>
              <w:right w:type="dxa" w:w="280"/>
            </w:tcMar>
          </w:tcPr>
          <w:p>
            <w:r>
              <w:rPr>
                <w:rFonts w:ascii="Arial" w:cs="Arial" w:eastAsia="Arial" w:hAnsi="Arial"/>
                <w:b/>
                <w:bCs/>
                <w:color w:val="1A56A0"/>
                <w:sz w:val="26"/>
                <w:szCs w:val="26"/>
              </w:rPr>
              <w:t xml:space="preserve">Overall SEO Score: 61 / 100  —  Needs Improvement</w:t>
            </w:r>
          </w:p>
          <w:p>
            <w:pPr>
              <w:spacing w:after="0" w:before="80"/>
            </w:pPr>
            <w:r>
              <w:t xml:space="preserve"/>
            </w:r>
          </w:p>
          <w:p>
            <w:r>
              <w:rPr>
                <w:rFonts w:ascii="Arial" w:cs="Arial" w:eastAsia="Arial" w:hAnsi="Arial"/>
                <w:color w:val="555555"/>
                <w:sz w:val="20"/>
                <w:szCs w:val="20"/>
              </w:rPr>
              <w:t xml:space="preserve">The site has a solid on-page foundation but is held back by critical technical gaps (no sitemap, no schema markup, JS-rendered blog content) and a weak off-page authority profile. All issues and recommended fixes are detailed in this report.</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1. Score Summary by Category</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38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555555"/>
                <w:sz w:val="20"/>
                <w:szCs w:val="20"/>
              </w:rPr>
              <w:t xml:space="preserve">On-page SEO</w:t>
            </w:r>
          </w:p>
        </w:tc>
        <w:tc>
          <w:tcPr>
            <w:tcW w:type="dxa" w:w="5500"/>
            <w:tcBorders>
              <w:top w:val="none" w:color="FFFFFF" w:sz="0"/>
              <w:left w:val="none" w:color="FFFFFF" w:sz="0"/>
              <w:bottom w:val="none" w:color="FFFFFF" w:sz="0"/>
              <w:right w:val="none" w:color="FFFFFF" w:sz="0"/>
            </w:tcBorders>
            <w:tcMar>
              <w:top w:type="dxa" w:w="80"/>
              <w:left w:type="dxa" w:w="0"/>
              <w:bottom w:type="dxa" w:w="80"/>
              <w:right w:type="dxa" w:w="120"/>
            </w:tcMar>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4070"/>
              <w:gridCol w:w="1430"/>
            </w:tblGrid>
            <w:tr>
              <w:tc>
                <w:tcPr>
                  <w:tcW w:type="dxa" w:w="4070"/>
                  <w:tcBorders>
                    <w:top w:val="none" w:color="FFFFFF" w:sz="0"/>
                    <w:left w:val="none" w:color="FFFFFF" w:sz="0"/>
                    <w:bottom w:val="none" w:color="FFFFFF" w:sz="0"/>
                    <w:right w:val="none" w:color="FFFFFF" w:sz="0"/>
                  </w:tcBorders>
                  <w:shd w:fill="639922" w:val="clear"/>
                  <w:tcMar>
                    <w:top w:type="dxa" w:w="80"/>
                    <w:bottom w:type="dxa" w:w="80"/>
                  </w:tcMar>
                </w:tcPr>
                <w:p>
                  <w:r>
                    <w:t xml:space="preserve"/>
                  </w:r>
                </w:p>
              </w:tc>
              <w:tc>
                <w:tcPr>
                  <w:tcW w:type="dxa" w:w="1430"/>
                  <w:tcBorders>
                    <w:top w:val="none" w:color="FFFFFF" w:sz="0"/>
                    <w:left w:val="none" w:color="FFFFFF" w:sz="0"/>
                    <w:bottom w:val="none" w:color="FFFFFF" w:sz="0"/>
                    <w:right w:val="none" w:color="FFFFFF" w:sz="0"/>
                  </w:tcBorders>
                  <w:shd w:fill="F0F0F0" w:val="clear"/>
                  <w:tcMar>
                    <w:top w:type="dxa" w:w="80"/>
                    <w:bottom w:type="dxa" w:w="8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bCs/>
                <w:color w:val="2E7D32"/>
                <w:sz w:val="22"/>
                <w:szCs w:val="22"/>
              </w:rPr>
              <w:t xml:space="preserve">74/100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555555"/>
                <w:sz w:val="20"/>
                <w:szCs w:val="20"/>
              </w:rPr>
              <w:t xml:space="preserve">Content quality</w:t>
            </w:r>
          </w:p>
        </w:tc>
        <w:tc>
          <w:tcPr>
            <w:tcW w:type="dxa" w:w="5500"/>
            <w:tcBorders>
              <w:top w:val="none" w:color="FFFFFF" w:sz="0"/>
              <w:left w:val="none" w:color="FFFFFF" w:sz="0"/>
              <w:bottom w:val="none" w:color="FFFFFF" w:sz="0"/>
              <w:right w:val="none" w:color="FFFFFF" w:sz="0"/>
            </w:tcBorders>
            <w:tcMar>
              <w:top w:type="dxa" w:w="80"/>
              <w:left w:type="dxa" w:w="0"/>
              <w:bottom w:type="dxa" w:w="80"/>
              <w:right w:type="dxa" w:w="120"/>
            </w:tcMar>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3575"/>
              <w:gridCol w:w="1925"/>
            </w:tblGrid>
            <w:tr>
              <w:tc>
                <w:tcPr>
                  <w:tcW w:type="dxa" w:w="3575"/>
                  <w:tcBorders>
                    <w:top w:val="none" w:color="FFFFFF" w:sz="0"/>
                    <w:left w:val="none" w:color="FFFFFF" w:sz="0"/>
                    <w:bottom w:val="none" w:color="FFFFFF" w:sz="0"/>
                    <w:right w:val="none" w:color="FFFFFF" w:sz="0"/>
                  </w:tcBorders>
                  <w:shd w:fill="BA7517" w:val="clear"/>
                  <w:tcMar>
                    <w:top w:type="dxa" w:w="80"/>
                    <w:bottom w:type="dxa" w:w="80"/>
                  </w:tcMar>
                </w:tcPr>
                <w:p>
                  <w:r>
                    <w:t xml:space="preserve"/>
                  </w:r>
                </w:p>
              </w:tc>
              <w:tc>
                <w:tcPr>
                  <w:tcW w:type="dxa" w:w="1925"/>
                  <w:tcBorders>
                    <w:top w:val="none" w:color="FFFFFF" w:sz="0"/>
                    <w:left w:val="none" w:color="FFFFFF" w:sz="0"/>
                    <w:bottom w:val="none" w:color="FFFFFF" w:sz="0"/>
                    <w:right w:val="none" w:color="FFFFFF" w:sz="0"/>
                  </w:tcBorders>
                  <w:shd w:fill="F0F0F0" w:val="clear"/>
                  <w:tcMar>
                    <w:top w:type="dxa" w:w="80"/>
                    <w:bottom w:type="dxa" w:w="8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bCs/>
                <w:color w:val="E65100"/>
                <w:sz w:val="22"/>
                <w:szCs w:val="22"/>
              </w:rPr>
              <w:t xml:space="preserve">65/100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555555"/>
                <w:sz w:val="20"/>
                <w:szCs w:val="20"/>
              </w:rPr>
              <w:t xml:space="preserve">Technical SEO</w:t>
            </w:r>
          </w:p>
        </w:tc>
        <w:tc>
          <w:tcPr>
            <w:tcW w:type="dxa" w:w="5500"/>
            <w:tcBorders>
              <w:top w:val="none" w:color="FFFFFF" w:sz="0"/>
              <w:left w:val="none" w:color="FFFFFF" w:sz="0"/>
              <w:bottom w:val="none" w:color="FFFFFF" w:sz="0"/>
              <w:right w:val="none" w:color="FFFFFF" w:sz="0"/>
            </w:tcBorders>
            <w:tcMar>
              <w:top w:type="dxa" w:w="80"/>
              <w:left w:type="dxa" w:w="0"/>
              <w:bottom w:type="dxa" w:w="80"/>
              <w:right w:type="dxa" w:w="120"/>
            </w:tcMar>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3190"/>
              <w:gridCol w:w="2310"/>
            </w:tblGrid>
            <w:tr>
              <w:tc>
                <w:tcPr>
                  <w:tcW w:type="dxa" w:w="3190"/>
                  <w:tcBorders>
                    <w:top w:val="none" w:color="FFFFFF" w:sz="0"/>
                    <w:left w:val="none" w:color="FFFFFF" w:sz="0"/>
                    <w:bottom w:val="none" w:color="FFFFFF" w:sz="0"/>
                    <w:right w:val="none" w:color="FFFFFF" w:sz="0"/>
                  </w:tcBorders>
                  <w:shd w:fill="BA7517" w:val="clear"/>
                  <w:tcMar>
                    <w:top w:type="dxa" w:w="80"/>
                    <w:bottom w:type="dxa" w:w="80"/>
                  </w:tcMar>
                </w:tcPr>
                <w:p>
                  <w:r>
                    <w:t xml:space="preserve"/>
                  </w:r>
                </w:p>
              </w:tc>
              <w:tc>
                <w:tcPr>
                  <w:tcW w:type="dxa" w:w="2310"/>
                  <w:tcBorders>
                    <w:top w:val="none" w:color="FFFFFF" w:sz="0"/>
                    <w:left w:val="none" w:color="FFFFFF" w:sz="0"/>
                    <w:bottom w:val="none" w:color="FFFFFF" w:sz="0"/>
                    <w:right w:val="none" w:color="FFFFFF" w:sz="0"/>
                  </w:tcBorders>
                  <w:shd w:fill="F0F0F0" w:val="clear"/>
                  <w:tcMar>
                    <w:top w:type="dxa" w:w="80"/>
                    <w:bottom w:type="dxa" w:w="8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bCs/>
                <w:color w:val="E65100"/>
                <w:sz w:val="22"/>
                <w:szCs w:val="22"/>
              </w:rPr>
              <w:t xml:space="preserve">58/100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555555"/>
                <w:sz w:val="20"/>
                <w:szCs w:val="20"/>
              </w:rPr>
              <w:t xml:space="preserve">Off-page / authority</w:t>
            </w:r>
          </w:p>
        </w:tc>
        <w:tc>
          <w:tcPr>
            <w:tcW w:type="dxa" w:w="5500"/>
            <w:tcBorders>
              <w:top w:val="none" w:color="FFFFFF" w:sz="0"/>
              <w:left w:val="none" w:color="FFFFFF" w:sz="0"/>
              <w:bottom w:val="none" w:color="FFFFFF" w:sz="0"/>
              <w:right w:val="none" w:color="FFFFFF" w:sz="0"/>
            </w:tcBorders>
            <w:tcMar>
              <w:top w:type="dxa" w:w="80"/>
              <w:left w:type="dxa" w:w="0"/>
              <w:bottom w:type="dxa" w:w="80"/>
              <w:right w:type="dxa" w:w="120"/>
            </w:tcMar>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475"/>
              <w:gridCol w:w="3025"/>
            </w:tblGrid>
            <w:tr>
              <w:tc>
                <w:tcPr>
                  <w:tcW w:type="dxa" w:w="2475"/>
                  <w:tcBorders>
                    <w:top w:val="none" w:color="FFFFFF" w:sz="0"/>
                    <w:left w:val="none" w:color="FFFFFF" w:sz="0"/>
                    <w:bottom w:val="none" w:color="FFFFFF" w:sz="0"/>
                    <w:right w:val="none" w:color="FFFFFF" w:sz="0"/>
                  </w:tcBorders>
                  <w:shd w:fill="A32D2D" w:val="clear"/>
                  <w:tcMar>
                    <w:top w:type="dxa" w:w="80"/>
                    <w:bottom w:type="dxa" w:w="80"/>
                  </w:tcMar>
                </w:tcPr>
                <w:p>
                  <w:r>
                    <w:t xml:space="preserve"/>
                  </w:r>
                </w:p>
              </w:tc>
              <w:tc>
                <w:tcPr>
                  <w:tcW w:type="dxa" w:w="3025"/>
                  <w:tcBorders>
                    <w:top w:val="none" w:color="FFFFFF" w:sz="0"/>
                    <w:left w:val="none" w:color="FFFFFF" w:sz="0"/>
                    <w:bottom w:val="none" w:color="FFFFFF" w:sz="0"/>
                    <w:right w:val="none" w:color="FFFFFF" w:sz="0"/>
                  </w:tcBorders>
                  <w:shd w:fill="F0F0F0" w:val="clear"/>
                  <w:tcMar>
                    <w:top w:type="dxa" w:w="80"/>
                    <w:bottom w:type="dxa" w:w="8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bCs/>
                <w:color w:val="C62828"/>
                <w:sz w:val="22"/>
                <w:szCs w:val="22"/>
              </w:rPr>
              <w:t xml:space="preserve">45/100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555555"/>
                <w:sz w:val="20"/>
                <w:szCs w:val="20"/>
              </w:rPr>
              <w:t xml:space="preserve">OVERALL</w:t>
            </w:r>
          </w:p>
        </w:tc>
        <w:tc>
          <w:tcPr>
            <w:tcW w:type="dxa" w:w="5500"/>
            <w:tcBorders>
              <w:top w:val="none" w:color="FFFFFF" w:sz="0"/>
              <w:left w:val="none" w:color="FFFFFF" w:sz="0"/>
              <w:bottom w:val="none" w:color="FFFFFF" w:sz="0"/>
              <w:right w:val="none" w:color="FFFFFF" w:sz="0"/>
            </w:tcBorders>
            <w:tcMar>
              <w:top w:type="dxa" w:w="80"/>
              <w:left w:type="dxa" w:w="0"/>
              <w:bottom w:type="dxa" w:w="80"/>
              <w:right w:type="dxa" w:w="120"/>
            </w:tcMar>
          </w:tcPr>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3355"/>
              <w:gridCol w:w="2145"/>
            </w:tblGrid>
            <w:tr>
              <w:tc>
                <w:tcPr>
                  <w:tcW w:type="dxa" w:w="3355"/>
                  <w:tcBorders>
                    <w:top w:val="none" w:color="FFFFFF" w:sz="0"/>
                    <w:left w:val="none" w:color="FFFFFF" w:sz="0"/>
                    <w:bottom w:val="none" w:color="FFFFFF" w:sz="0"/>
                    <w:right w:val="none" w:color="FFFFFF" w:sz="0"/>
                  </w:tcBorders>
                  <w:shd w:fill="1A56A0" w:val="clear"/>
                  <w:tcMar>
                    <w:top w:type="dxa" w:w="80"/>
                    <w:bottom w:type="dxa" w:w="80"/>
                  </w:tcMar>
                </w:tcPr>
                <w:p>
                  <w:r>
                    <w:t xml:space="preserve"/>
                  </w:r>
                </w:p>
              </w:tc>
              <w:tc>
                <w:tcPr>
                  <w:tcW w:type="dxa" w:w="2145"/>
                  <w:tcBorders>
                    <w:top w:val="none" w:color="FFFFFF" w:sz="0"/>
                    <w:left w:val="none" w:color="FFFFFF" w:sz="0"/>
                    <w:bottom w:val="none" w:color="FFFFFF" w:sz="0"/>
                    <w:right w:val="none" w:color="FFFFFF" w:sz="0"/>
                  </w:tcBorders>
                  <w:shd w:fill="F0F0F0" w:val="clear"/>
                  <w:tcMar>
                    <w:top w:type="dxa" w:w="80"/>
                    <w:bottom w:type="dxa" w:w="80"/>
                  </w:tcMar>
                </w:tcPr>
                <w:p>
                  <w:r>
                    <w:t xml:space="preserve"/>
                  </w:r>
                </w:p>
              </w:tc>
            </w:tr>
          </w:tbl>
          <w:p/>
        </w:tc>
        <w:tc>
          <w:tcPr>
            <w:tcW w:type="dxa" w:w="120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bCs/>
                <w:color w:val="1A56A0"/>
                <w:sz w:val="22"/>
                <w:szCs w:val="22"/>
              </w:rPr>
              <w:t xml:space="preserve">61/100</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2. Technical SEO  —  Score: 58 / 100</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8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9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sitemap.xml</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XML sitemap was found or referenced. Google and Bing cannot efficiently discover all pages. Critical for a multi-page site with blogs and inner pages.</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robots.txt confirmed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robots.txt could not be verified. Without it, crawlers have no guidance, and the sitemap location cannot be declared site-wide.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structured data / schema</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Organization, BreadcrumbList, Article, FAQPage, or WebSite schema found. Missing rich results opportunities (FAQ cards, knowledge panel, article markup).</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Blog content is JS-rendered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"Loading blogs..." appears in HTML source. If blogs are JS-rendered, Googlebot may miss them. SSR or static generation strongly recommended.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OG image too small (485x201)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og:image is a logo at 485x201px. Facebook and LinkedIn require 1200x630px for proper share preview rendering.</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canonical link tags</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Canonical &lt;link rel='canonical'&gt; tags were not confirmed on inner pages. These prevent duplicate-content penalties from www/non-www or trailing-slash variants.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HTTPS in use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Site correctly serves over HTTPS — a baseline Google ranking signal.</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Viewport meta tag present</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Mobile viewport declared correctly (width=device-width, initial-scale=1).</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robots meta tag set</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audited pages include meta robots: index, follow with Googlebot extended snippet parameters.</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3. On-Page SEO  —  Score: 74 / 100</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8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9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Title tags well-formed &amp; unique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Homepage: "Tax Payers Alliance Pakistan (TPAP) | Taxpayer Rights &amp; Tax Reform Advocacy" — ~70 chars, includes brand + primary keyword. All audited pages have distinct titles.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Meta descriptions present &amp; unique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checked pages have unique, descriptive meta descriptions within recommended length. Homepage description is action-oriented and compelling.</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H1 tags appropriate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Each page has a single clear H1. Homepage H1: "Pakistan's Taxpayers Deserve a Seat at the Table." — compelling and keyword-relevant.</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OG and Twitter Card complete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og:title, description, image, type, locale, site_name, twitter:card, title, description, and image are all present across audited pages.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og:title name inconsistency</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"Tax Payer Alliance Pakistan" in og:title vs "Tax Payers Alliance Pakistan" across branding. Inconsistency weakens brand authority in social shares.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Keyword stuffing in meta keywords</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Homepage meta keywords lists 20+ terms. Google ignores this tag; Bing may penalise over-stuffing. Reduce to 5-8 focused terms.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Shallow internal linking</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Navigation links are logical, but body content lacks contextual links between related pages. This limits crawl depth and PageRank distribution.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Image alt text — partial</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Logo alt text is correct ('TPAP'). Content/body images (blog thumbnails, team photos) need descriptive alt attributes for accessibility and image-search indexing.</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4. Content Quality  —  Score: 65 / 100</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8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9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Blog has no published content</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"Loading blogs..." — no articles rendered in HTML. The blog is the primary organic traffic driver for a policy site. Needs 10+ substantive published articles (1,000+ words each).</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Press releases likely empty</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/press-releases page follows the same JS-loading pattern. If empty, it misses news-keyword rankings and media credibility signals.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Placeholder testimonials live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Homepage reads "These client-supplied testimonial placeholders will be replaced..." — live placeholder text actively damages E-E-A-T credibility signals.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Leadership page unaudited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/leadership page is in navigation but content is unknown. Detailed bios with credentials significantly boost E-E-A-T for advocacy and policy sites.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FAQ schema opportunity missed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FAQ pages are high-value for featured snippets. If the /faq page has substantive Q&amp;A marked up with FAQPage schema, it can rank in rich results.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Strong homepage and About copy</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Both pages contain detailed, original prose covering mission, history, philosophy, and impact areas. Well-structured with clear heading hierarchy. Strong long-tail keyword coverage.</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Good topical keyword coverage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Natural usage of: FBR, withholding tax, GST, SME taxation, tax reform Pakistan, fiscal transparency, taxpayer rights. No keyword stuffing in body copy.</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5. Off-Page Authority  —  Score: 45 / 100</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8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9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Wikipedia presence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TPAP does not appear on Wikipedia. A listing or mention on the PRIME Pakistan page would be a strong domain-authority signal.</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Google Business Profile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Knowledge Panel detected. A verified GBP generates a branded panel on search, builds trust, and unlocks the sitelinks search box.</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Twitter/X handle is off-brand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@tpap_prime references PRIME rather than TPAP's own brand. This weakens branded-search association on the platform.</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confirmed backlink profile</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inbound links from PRIME Pakistan, Dawn, The News, Business Recorder, or think tanks found. Low domain authority will suppress rankings for competitive queries.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WARN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No press coverage detected</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third-party media citations or editorial backlinks found. Outreach to Dawn, The News, ARY, and Geo for expert commentary is the fastest route to authoritative backlinks.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Social presence on 4 platforms</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Active profiles on Facebook, X, LinkedIn, and Instagram linked from the site. LinkedIn is especially valuable for policy audience and professional sharing.</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6. Priority Action Plan for Codex</w:t>
      </w:r>
    </w:p>
    <w:p>
      <w:pPr>
        <w:spacing w:after="60" w:before="60"/>
        <w:jc w:val="both"/>
      </w:pPr>
      <w:r>
        <w:rPr>
          <w:rFonts w:ascii="Arial" w:cs="Arial" w:eastAsia="Arial" w:hAnsi="Arial"/>
          <w:color w:val="555555"/>
          <w:sz w:val="22"/>
          <w:szCs w:val="22"/>
        </w:rPr>
        <w:t xml:space="preserve">The following tasks are ordered by impact. Critical items (marked in red) should be resolved before any other optimisation work.</w:t>
      </w:r>
    </w:p>
    <w:p>
      <w:pPr>
        <w:spacing w:after="0" w:before="10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458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1</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Publish XML sitemap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Generate /sitemap.xml covering all pages. Add Sitemap: directive in robots.txt. Submit to Google Search Console and Bing Webmaster Tools.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2</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Fix blog JS rendering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Server-side render blog content (SSR or static generation) so Googlebot can index articles. Publish at least 10 substantive articles (1,000+ words) on FBR reform, withholding tax, budget analysis, and taxpayer rights.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3</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Add structured data schema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Organization schema on homepage (name, logo, contactPoint, sameAs). Article schema on blog posts. FAQPage schema on /faq. WebSite schema with sitelinks search action.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4</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Create robots.txt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/robots.txt with: User-agent: * / Allow: / and Sitemap: https://taxpayersalliancepakistan.com/sitemap.xml</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5</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Add canonical link 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&lt;link rel='canonical' href='...'&gt; to every page's &lt;head&gt;. Ensures Google uses the correct canonical URL regardless of www/trailing-slash variants.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6</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Replace placeholder testimonials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Replace all live placeholder text with verified member names, titles, organisations, and photos. This directly affects Google's E-E-A-T quality evaluation.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7</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Fix og:title brand inconsistency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og:title across all pages from "Tax Payer Alliance Pakistan" to "Tax Payers Alliance Pakistan" (with the S). Standardise across all meta tags.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8</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Upgrade OG/social image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 branded 1200x630px social share image (not just a logo) featuring TPAP brand + tagline. Update og:image and twitter:image on all pages.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9</w:t>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Add contextual internal links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Within blog articles and policy pages, add contextual hyperlinks to related pages (Membership, Complaints, Policy Advocacy) using descriptive anchor text — not 'click here'.</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10</w:t>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Create Google Business Profile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and verify a GBP for TPAP. Add: category (Nonprofit Organization), address, contact email, website. This triggers a branded Knowledge Panel on Google Search.</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11</w:t>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Secure PRIME Pakistan backlink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Request a link to taxpayersalliancepakistan.com from the PRIME Pakistan website's projects/initiatives page. This single high-authority link will meaningfully raise domain authority.</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1A56A0"/>
                <w:sz w:val="22"/>
                <w:szCs w:val="22"/>
              </w:rPr>
              <w:t xml:space="preserve">12</w:t>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Media outreach for backlinks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Pitch op-eds and expert commentary to Dawn, The News, Business Recorder. A single published piece with a link to TPAP is worth dozens of low-quality links.</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7. Pages Audited</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00"/>
      </w:tblGrid>
      <w:tr>
        <w:trPr>
          <w:tblHeader/>
        </w:trPr>
        <w:tc>
          <w:tcPr>
            <w:tcW w:type="dxa" w:w="30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Homepage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audit</w:t>
            </w:r>
          </w:p>
        </w:tc>
      </w:tr>
      <w:tr>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About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/about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audit</w:t>
            </w:r>
          </w:p>
        </w:tc>
      </w:tr>
      <w:tr>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Membership</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/membership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audit</w:t>
            </w:r>
          </w:p>
        </w:tc>
      </w:tr>
      <w:tr>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Blogs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/blogs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JS rendering issue identified</w:t>
            </w:r>
          </w:p>
        </w:tc>
      </w:tr>
      <w:tr>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Policy Advocacy, Complaints, Leadership, FAQ, Press, Contact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Various inner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Meta data audited; content not fully reviewed</w:t>
            </w:r>
          </w:p>
        </w:tc>
      </w:tr>
    </w:tbl>
    <w:p>
      <w:pPr>
        <w:spacing w:after="0" w:before="280"/>
      </w:pPr>
      <w:r>
        <w:t xml:space="preserve"/>
      </w:r>
    </w:p>
    <w:p>
      <w:pPr>
        <w:pStyle w:val="Heading2"/>
        <w:pBdr>
          <w:bottom w:val="single" w:color="1A56A0" w:sz="4" w:space="4"/>
        </w:pBdr>
        <w:spacing w:after="120" w:before="280"/>
      </w:pPr>
      <w:r>
        <w:rPr>
          <w:rFonts w:ascii="Arial" w:cs="Arial" w:eastAsia="Arial" w:hAnsi="Arial"/>
          <w:b/>
          <w:bCs/>
          <w:color w:val="1A56A0"/>
          <w:sz w:val="28"/>
          <w:szCs w:val="28"/>
        </w:rPr>
        <w:t xml:space="preserve">8. About This Audit</w:t>
      </w:r>
    </w:p>
    <w:p>
      <w:pPr>
        <w:spacing w:after="60" w:before="60"/>
        <w:jc w:val="both"/>
      </w:pPr>
      <w:r>
        <w:rPr>
          <w:rFonts w:ascii="Arial" w:cs="Arial" w:eastAsia="Arial" w:hAnsi="Arial"/>
          <w:color w:val="555555"/>
          <w:sz w:val="22"/>
          <w:szCs w:val="22"/>
        </w:rPr>
        <w:t xml:space="preserve">This audit was conducted by reviewing live page HTML, meta tag structure, heading hierarchy, Open Graph implementation, robots directives, and content quality across all publicly accessible TPAP pages. It covers technical SEO, on-page SEO, content quality, and off-page authority factors.</w:t>
      </w:r>
    </w:p>
    <w:p>
      <w:pPr>
        <w:spacing w:after="0" w:before="80"/>
      </w:pPr>
      <w:r>
        <w:t xml:space="preserve"/>
      </w:r>
    </w:p>
    <w:p>
      <w:pPr>
        <w:spacing w:after="60" w:before="60"/>
        <w:jc w:val="both"/>
      </w:pPr>
      <w:r>
        <w:rPr>
          <w:rFonts w:ascii="Arial" w:cs="Arial" w:eastAsia="Arial" w:hAnsi="Arial"/>
          <w:color w:val="555555"/>
          <w:sz w:val="22"/>
          <w:szCs w:val="22"/>
        </w:rPr>
        <w:t xml:space="preserve">Limitations: Page speed (Core Web Vitals), server response time, mobile rendering fidelity, and backlink database counts require third-party tooling (Google Search Console, Ahrefs, SEMrush) for definitive measurement. The scores assigned are qualitative assessments based on direct HTML inspection.</w:t>
      </w:r>
    </w:p>
    <w:p>
      <w:pPr>
        <w:spacing w:after="0" w:before="80"/>
      </w:pPr>
      <w:r>
        <w:t xml:space="preserve"/>
      </w:r>
    </w:p>
    <w:p>
      <w:pPr>
        <w:spacing w:after="60" w:before="60"/>
        <w:jc w:val="both"/>
      </w:pPr>
      <w:r>
        <w:rPr>
          <w:rFonts w:ascii="Arial" w:cs="Arial" w:eastAsia="Arial" w:hAnsi="Arial"/>
          <w:color w:val="555555"/>
          <w:sz w:val="22"/>
          <w:szCs w:val="22"/>
        </w:rPr>
        <w:t xml:space="preserve">Recommended tools for ongoing monitoring: Google Search Console (indexation + performance), Google PageSpeed Insights (Core Web Vitals), Ahrefs or SEMrush (backlink analysis + keyword ranking), Screaming Frog (full technical crawl).</w:t>
      </w:r>
    </w:p>
    <w:p>
      <w:pPr>
        <w:spacing w:after="0" w:before="360"/>
      </w:pPr>
      <w:r>
        <w:t xml:space="preserve"/>
      </w:r>
    </w:p>
    <w:p>
      <w:pPr>
        <w:jc w:val="center"/>
      </w:pPr>
      <w:r>
        <w:rPr>
          <w:rFonts w:ascii="Arial" w:cs="Arial" w:eastAsia="Arial" w:hAnsi="Arial"/>
          <w:i/>
          <w:iCs/>
          <w:color w:val="AAAAAA"/>
          <w:sz w:val="20"/>
          <w:szCs w:val="20"/>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555555"/>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555555"/>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2026-06-05T11:51:29.268Z</dcterms:created>
  <dcterms:modified xsi:type="dcterms:W3CDTF">2026-06-05T11:51:29.268Z</dcterms:modified>
</cp:coreProperties>
</file>

<file path=docProps/custom.xml><?xml version="1.0" encoding="utf-8"?>
<Properties xmlns="http://schemas.openxmlformats.org/officeDocument/2006/custom-properties" xmlns:vt="http://schemas.openxmlformats.org/officeDocument/2006/docPropsVTypes"/>
</file>