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0BCFC" w14:textId="16E471C2" w:rsidR="00D9052D" w:rsidRDefault="009128D8" w:rsidP="00D9052D">
      <w:pPr>
        <w:spacing w:line="276" w:lineRule="auto"/>
        <w:ind w:firstLine="720"/>
        <w:rPr>
          <w:rFonts w:ascii="Times New Roman" w:hAnsi="Times New Roman" w:cs="Times New Roman"/>
        </w:rPr>
      </w:pPr>
      <w:r>
        <w:rPr>
          <w:noProof/>
        </w:rPr>
        <w:drawing>
          <wp:anchor distT="0" distB="0" distL="0" distR="0" simplePos="0" relativeHeight="251659264" behindDoc="1" locked="0" layoutInCell="1" allowOverlap="1" wp14:anchorId="3668664A" wp14:editId="21EE5DD6">
            <wp:simplePos x="0" y="0"/>
            <wp:positionH relativeFrom="page">
              <wp:posOffset>3987800</wp:posOffset>
            </wp:positionH>
            <wp:positionV relativeFrom="page">
              <wp:posOffset>1130300</wp:posOffset>
            </wp:positionV>
            <wp:extent cx="2305049" cy="971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05049" cy="971549"/>
                    </a:xfrm>
                    <a:prstGeom prst="rect">
                      <a:avLst/>
                    </a:prstGeom>
                  </pic:spPr>
                </pic:pic>
              </a:graphicData>
            </a:graphic>
          </wp:anchor>
        </w:drawing>
      </w:r>
      <w:r w:rsidR="00946D40">
        <w:rPr>
          <w:rFonts w:ascii="Times New Roman" w:hAnsi="Times New Roman" w:cs="Times New Roman"/>
          <w:noProof/>
        </w:rPr>
        <w:drawing>
          <wp:inline distT="0" distB="0" distL="0" distR="0" wp14:anchorId="7718C70A" wp14:editId="2044D86A">
            <wp:extent cx="2133600" cy="1507198"/>
            <wp:effectExtent l="0" t="0" r="0" b="0"/>
            <wp:docPr id="1324165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5573" name="Picture 13241655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0211" cy="1525996"/>
                    </a:xfrm>
                    <a:prstGeom prst="rect">
                      <a:avLst/>
                    </a:prstGeom>
                  </pic:spPr>
                </pic:pic>
              </a:graphicData>
            </a:graphic>
          </wp:inline>
        </w:drawing>
      </w:r>
      <w:r w:rsidR="00D9052D">
        <w:rPr>
          <w:rFonts w:ascii="Times New Roman" w:hAnsi="Times New Roman" w:cs="Times New Roman"/>
        </w:rPr>
        <w:t xml:space="preserve">        </w:t>
      </w:r>
    </w:p>
    <w:p w14:paraId="1C4334F3" w14:textId="3D1475B9" w:rsidR="00946D40" w:rsidRPr="00946D40" w:rsidRDefault="00946D40" w:rsidP="00946D40">
      <w:pPr>
        <w:jc w:val="center"/>
        <w:rPr>
          <w:rFonts w:ascii="Times New Roman" w:hAnsi="Times New Roman" w:cs="Times New Roman"/>
        </w:rPr>
      </w:pPr>
      <w:r w:rsidRPr="00946D40">
        <w:rPr>
          <w:rFonts w:ascii="Times New Roman" w:hAnsi="Times New Roman" w:cs="Times New Roman"/>
          <w:b/>
          <w:bCs/>
        </w:rPr>
        <w:t xml:space="preserve">JOINT PRESS RELEASE </w:t>
      </w:r>
    </w:p>
    <w:p w14:paraId="59531EAD"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The Tax Laws (Amendment) Ordinance, 2025: Concerns Regarding Due Process, Judicial Oversight, and Taxpayer Rights</w:t>
      </w:r>
    </w:p>
    <w:p w14:paraId="64CCA8DD" w14:textId="5A7E39BF" w:rsidR="00946D40" w:rsidRPr="00946D40" w:rsidRDefault="00E07A6B" w:rsidP="00946D40">
      <w:pPr>
        <w:jc w:val="both"/>
        <w:rPr>
          <w:rFonts w:ascii="Times New Roman" w:hAnsi="Times New Roman" w:cs="Times New Roman"/>
        </w:rPr>
      </w:pPr>
      <w:r w:rsidRPr="00857F97">
        <w:rPr>
          <w:rFonts w:ascii="Times New Roman" w:hAnsi="Times New Roman" w:cs="Times New Roman"/>
          <w:i/>
        </w:rPr>
        <w:t>Islamabad, 7</w:t>
      </w:r>
      <w:r w:rsidR="00CD2580" w:rsidRPr="00857F97">
        <w:rPr>
          <w:rFonts w:ascii="Times New Roman" w:hAnsi="Times New Roman" w:cs="Times New Roman"/>
          <w:i/>
          <w:vertAlign w:val="superscript"/>
        </w:rPr>
        <w:t>th</w:t>
      </w:r>
      <w:r w:rsidR="00CD2580" w:rsidRPr="00857F97">
        <w:rPr>
          <w:rFonts w:ascii="Times New Roman" w:hAnsi="Times New Roman" w:cs="Times New Roman"/>
          <w:i/>
        </w:rPr>
        <w:t xml:space="preserve"> May 2025</w:t>
      </w:r>
      <w:r w:rsidR="00CD2580" w:rsidRPr="00946D40">
        <w:rPr>
          <w:rFonts w:ascii="Times New Roman" w:hAnsi="Times New Roman" w:cs="Times New Roman"/>
        </w:rPr>
        <w:t>—</w:t>
      </w:r>
      <w:r w:rsidR="00946D40" w:rsidRPr="00946D40">
        <w:rPr>
          <w:rFonts w:ascii="Times New Roman" w:hAnsi="Times New Roman" w:cs="Times New Roman"/>
        </w:rPr>
        <w:t>Tax Payers Alliance Pakistan (TPAP) and the Policy Research Ins</w:t>
      </w:r>
      <w:r w:rsidR="00010C83">
        <w:rPr>
          <w:rFonts w:ascii="Times New Roman" w:hAnsi="Times New Roman" w:cs="Times New Roman"/>
        </w:rPr>
        <w:t>titute of Market Economy (PRIME</w:t>
      </w:r>
      <w:r w:rsidR="00946D40" w:rsidRPr="00946D40">
        <w:rPr>
          <w:rFonts w:ascii="Times New Roman" w:hAnsi="Times New Roman" w:cs="Times New Roman"/>
        </w:rPr>
        <w:t xml:space="preserve">) jointly express </w:t>
      </w:r>
      <w:r w:rsidR="00857F97">
        <w:rPr>
          <w:rFonts w:ascii="Times New Roman" w:hAnsi="Times New Roman" w:cs="Times New Roman"/>
        </w:rPr>
        <w:t xml:space="preserve">serious </w:t>
      </w:r>
      <w:r w:rsidR="00946D40" w:rsidRPr="00946D40">
        <w:rPr>
          <w:rFonts w:ascii="Times New Roman" w:hAnsi="Times New Roman" w:cs="Times New Roman"/>
        </w:rPr>
        <w:t>concern</w:t>
      </w:r>
      <w:r w:rsidR="00857F97">
        <w:rPr>
          <w:rFonts w:ascii="Times New Roman" w:hAnsi="Times New Roman" w:cs="Times New Roman"/>
        </w:rPr>
        <w:t>s</w:t>
      </w:r>
      <w:r w:rsidR="00946D40" w:rsidRPr="00946D40">
        <w:rPr>
          <w:rFonts w:ascii="Times New Roman" w:hAnsi="Times New Roman" w:cs="Times New Roman"/>
        </w:rPr>
        <w:t xml:space="preserve"> over the recently issued Tax Laws (Amendment) Ordinance, 2025. Both organizations believe that certain provisions within the Ordinance could potentially affect fundamental legal safeguards and principles that are essential for a fair and transparent tax system.</w:t>
      </w:r>
    </w:p>
    <w:p w14:paraId="1A771435"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 Ordinance, which amends Sections 138 and 140 of the Income Tax Ordinance, 2001 (XLIX of 2001), has prompted considerable discussion among legal experts, tax professionals, businesses, and civil society. While its stated goal is to expedite tax collection and improve enforcement, stakeholders are concerned that it may have implications for taxpayer rights and procedural due process.</w:t>
      </w:r>
    </w:p>
    <w:p w14:paraId="654EFAA3"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Key Amendments of the Ordinance:</w:t>
      </w:r>
    </w:p>
    <w:p w14:paraId="21F220B3" w14:textId="77777777" w:rsidR="00946D40" w:rsidRPr="00946D40" w:rsidRDefault="00946D40" w:rsidP="00946D40">
      <w:pPr>
        <w:numPr>
          <w:ilvl w:val="0"/>
          <w:numId w:val="1"/>
        </w:numPr>
        <w:spacing w:after="200" w:line="276" w:lineRule="auto"/>
        <w:jc w:val="both"/>
        <w:rPr>
          <w:rFonts w:ascii="Times New Roman" w:hAnsi="Times New Roman" w:cs="Times New Roman"/>
        </w:rPr>
      </w:pPr>
      <w:r w:rsidRPr="00946D40">
        <w:rPr>
          <w:rFonts w:ascii="Times New Roman" w:hAnsi="Times New Roman" w:cs="Times New Roman"/>
          <w:b/>
          <w:bCs/>
        </w:rPr>
        <w:t>Section 138(3A)</w:t>
      </w:r>
      <w:r w:rsidRPr="00946D40">
        <w:rPr>
          <w:rFonts w:ascii="Times New Roman" w:hAnsi="Times New Roman" w:cs="Times New Roman"/>
        </w:rPr>
        <w:t>: Allows for immediate enforcement of tax liability where the issue has been decided by a High Court or the Supreme Court, regardless of contrary rulings, timelines, or procedural norms.</w:t>
      </w:r>
    </w:p>
    <w:p w14:paraId="733321BC" w14:textId="25B62CB8" w:rsidR="00946D40" w:rsidRPr="00C27ABA" w:rsidRDefault="00946D40" w:rsidP="00946D40">
      <w:pPr>
        <w:numPr>
          <w:ilvl w:val="0"/>
          <w:numId w:val="1"/>
        </w:numPr>
        <w:spacing w:after="200" w:line="276" w:lineRule="auto"/>
        <w:jc w:val="both"/>
        <w:rPr>
          <w:rFonts w:ascii="Times New Roman" w:hAnsi="Times New Roman" w:cs="Times New Roman"/>
        </w:rPr>
      </w:pPr>
      <w:r w:rsidRPr="00946D40">
        <w:rPr>
          <w:rFonts w:ascii="Times New Roman" w:hAnsi="Times New Roman" w:cs="Times New Roman"/>
          <w:b/>
          <w:bCs/>
        </w:rPr>
        <w:t>Section 140(6A)</w:t>
      </w:r>
      <w:r w:rsidRPr="00946D40">
        <w:rPr>
          <w:rFonts w:ascii="Times New Roman" w:hAnsi="Times New Roman" w:cs="Times New Roman"/>
        </w:rPr>
        <w:t>: Enables swift recovery actions under similar conditions, potentially limiting a taxpayer's opportunity to contest or seek relief.</w:t>
      </w:r>
    </w:p>
    <w:p w14:paraId="61AE94F1" w14:textId="49735CD7" w:rsidR="00C27ABA" w:rsidRDefault="00C27ABA" w:rsidP="00C27ABA">
      <w:pPr>
        <w:pStyle w:val="NormalWeb"/>
        <w:jc w:val="both"/>
        <w:rPr>
          <w:bCs/>
        </w:rPr>
      </w:pPr>
      <w:r>
        <w:rPr>
          <w:bCs/>
        </w:rPr>
        <w:t xml:space="preserve">Raja </w:t>
      </w:r>
      <w:proofErr w:type="spellStart"/>
      <w:r>
        <w:rPr>
          <w:bCs/>
        </w:rPr>
        <w:t>Amer</w:t>
      </w:r>
      <w:proofErr w:type="spellEnd"/>
      <w:r>
        <w:rPr>
          <w:bCs/>
        </w:rPr>
        <w:t xml:space="preserve"> Iqbal, Chairman TPAP, notes that “t</w:t>
      </w:r>
      <w:r w:rsidRPr="00C27ABA">
        <w:rPr>
          <w:bCs/>
        </w:rPr>
        <w:t>hese amendments will further marginalize existing taxpayers and discourage potential taxpayers from entering the tax base. Such policies may yield short-term revenue gains but will have negative ramifications on economic growth, exacerbate the parallel economy, and stifle private sector investment, including local and foreign. Ultimately, this could lead to increas</w:t>
      </w:r>
      <w:r>
        <w:rPr>
          <w:bCs/>
        </w:rPr>
        <w:t>ed unemployment among the youth,” He further mentions that,</w:t>
      </w:r>
      <w:r w:rsidRPr="00C27ABA">
        <w:rPr>
          <w:bCs/>
        </w:rPr>
        <w:t xml:space="preserve"> </w:t>
      </w:r>
      <w:r>
        <w:rPr>
          <w:bCs/>
        </w:rPr>
        <w:t>“a</w:t>
      </w:r>
      <w:r w:rsidRPr="00C27ABA">
        <w:rPr>
          <w:bCs/>
        </w:rPr>
        <w:t xml:space="preserve"> balanced approach is crucial to fostering a conducive business environment and sustainable economic development.</w:t>
      </w:r>
      <w:r>
        <w:rPr>
          <w:bCs/>
        </w:rPr>
        <w:t xml:space="preserve">” </w:t>
      </w:r>
    </w:p>
    <w:p w14:paraId="69BD8091" w14:textId="77777777" w:rsidR="00C27ABA" w:rsidRPr="00C27ABA" w:rsidRDefault="00C27ABA" w:rsidP="00C27ABA">
      <w:pPr>
        <w:pStyle w:val="NormalWeb"/>
        <w:jc w:val="both"/>
      </w:pPr>
    </w:p>
    <w:p w14:paraId="20E9BFB7" w14:textId="58DE429E"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lastRenderedPageBreak/>
        <w:t>Legal and Constitutional Considerations:</w:t>
      </w:r>
    </w:p>
    <w:p w14:paraId="426C9D8E"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These provisions grant the Federal Board of Revenue (FBR) expanded authority to enforce recoveries even when a taxpayer may be seeking appellate review or pursuing legal remedies. This raises constitutional and legal concerns, particularly regarding the right to a fair hearing and due process.</w:t>
      </w:r>
    </w:p>
    <w:p w14:paraId="5BE534C4"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 xml:space="preserve">In the landmark case of </w:t>
      </w:r>
      <w:proofErr w:type="spellStart"/>
      <w:r w:rsidRPr="00946D40">
        <w:rPr>
          <w:rFonts w:ascii="Times New Roman" w:hAnsi="Times New Roman" w:cs="Times New Roman"/>
          <w:i/>
          <w:iCs/>
        </w:rPr>
        <w:t>Elahi</w:t>
      </w:r>
      <w:proofErr w:type="spellEnd"/>
      <w:r w:rsidRPr="00946D40">
        <w:rPr>
          <w:rFonts w:ascii="Times New Roman" w:hAnsi="Times New Roman" w:cs="Times New Roman"/>
          <w:i/>
          <w:iCs/>
        </w:rPr>
        <w:t xml:space="preserve"> Cotton Mills Ltd. </w:t>
      </w:r>
      <w:proofErr w:type="gramStart"/>
      <w:r w:rsidRPr="00946D40">
        <w:rPr>
          <w:rFonts w:ascii="Times New Roman" w:hAnsi="Times New Roman" w:cs="Times New Roman"/>
          <w:i/>
          <w:iCs/>
        </w:rPr>
        <w:t>v.</w:t>
      </w:r>
      <w:proofErr w:type="gramEnd"/>
      <w:r w:rsidRPr="00946D40">
        <w:rPr>
          <w:rFonts w:ascii="Times New Roman" w:hAnsi="Times New Roman" w:cs="Times New Roman"/>
          <w:i/>
          <w:iCs/>
        </w:rPr>
        <w:t xml:space="preserve"> Federation of Pakistan</w:t>
      </w:r>
      <w:r w:rsidRPr="00946D40">
        <w:rPr>
          <w:rFonts w:ascii="Times New Roman" w:hAnsi="Times New Roman" w:cs="Times New Roman"/>
        </w:rPr>
        <w:t xml:space="preserve"> (PLD 1997 SC 582), the Supreme Court emphasized the necessity of due process in tax recovery proceedings, underscoring that taxpayers must be afforded a fair opportunity to contest assessments before enforcement actions are initiated.</w:t>
      </w:r>
    </w:p>
    <w:p w14:paraId="0326176D"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Several legal professionals have noted that the Ordinance appears to override established judicial precedents and procedural safeguards. The principle that individuals should have the opportunity to be heard before enforcement action is taken is a cornerstone of administrative justice. Curtailing this right may impact public confidence in tax administration and the authority of the judiciary.</w:t>
      </w:r>
    </w:p>
    <w:p w14:paraId="675D6A5E"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Risk of Disproportionate Enforcement:</w:t>
      </w:r>
    </w:p>
    <w:p w14:paraId="05C673B8"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Empowering tax authorities to recover liabilities immediately, even in the presence of ongoing legal challenges, may increase the risk of overzealous enforcement. There is concern that such discretion, without adequate checks and balances, could result in unintended consequences, particularly for compliant taxpayers facing disputed assessments.</w:t>
      </w:r>
    </w:p>
    <w:p w14:paraId="2951FC9D"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Over 108,000 tax cases are currently pending in various courts across Pakistan, involving approximately Rs4.457 trillion in revenue. This backlog indicates systemic challenges in tax dispute resolution and underscores the need for balanced enforcement rather than expedited action without recourse.</w:t>
      </w:r>
    </w:p>
    <w:p w14:paraId="4954D14D"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Impact on Economic Climate:</w:t>
      </w:r>
    </w:p>
    <w:p w14:paraId="55EE4EA3"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Predictability and fairness in tax administration are crucial for fostering business confidence. Sudden enforcement actions, especially near fiscal year-end, may be perceived as efforts to meet revenue targets without adequate taxpayer facilitation. Such perceptions could discourage investment and create uncertainty among both domestic and international investors.</w:t>
      </w:r>
    </w:p>
    <w:p w14:paraId="324BB0FC"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 International Monetary Fund (IMF) has highlighted that Pakistan's narrow tax base and challenges in tax administration contribute to economic vulnerabilities. In its recent assessment, the IMF noted that strengthening governance and ensuring fair tax practices are crucial for fostering a conducive investment climate.</w:t>
      </w:r>
    </w:p>
    <w:p w14:paraId="1CD1915C"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Stakeholder Perspectives:</w:t>
      </w:r>
    </w:p>
    <w:p w14:paraId="2EC239C9"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 xml:space="preserve">TPAP and PRIME, along with allied organizations, have emphasized the need for balancing revenue imperatives with constitutional protections and judicial oversight. Legal experts have also raised caution against legislation that could appear to diminish the judiciary's role in adjudicating </w:t>
      </w:r>
      <w:r w:rsidRPr="00946D40">
        <w:rPr>
          <w:rFonts w:ascii="Times New Roman" w:hAnsi="Times New Roman" w:cs="Times New Roman"/>
        </w:rPr>
        <w:lastRenderedPageBreak/>
        <w:t>tax matters. A well-functioning taxation system should encourage voluntary compliance through transparency and fairness.</w:t>
      </w:r>
    </w:p>
    <w:p w14:paraId="6C2F92CF"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 Federation of Pakistan Chambers of Commerce and Industry (FPCCI) has expressed concerns over abrupt tax enforcement measures, stating that such actions can undermine business confidence and deter investment. The FPCCI advocates for a balanced approach that ensures compliance while safeguarding taxpayer rights.</w:t>
      </w:r>
    </w:p>
    <w:p w14:paraId="781FF147"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b/>
          <w:bCs/>
        </w:rPr>
        <w:t>International Comparisons:</w:t>
      </w:r>
    </w:p>
    <w:p w14:paraId="7C782826"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 xml:space="preserve">The </w:t>
      </w:r>
      <w:proofErr w:type="spellStart"/>
      <w:r w:rsidRPr="00946D40">
        <w:rPr>
          <w:rFonts w:ascii="Times New Roman" w:hAnsi="Times New Roman" w:cs="Times New Roman"/>
        </w:rPr>
        <w:t>Organisation</w:t>
      </w:r>
      <w:proofErr w:type="spellEnd"/>
      <w:r w:rsidRPr="00946D40">
        <w:rPr>
          <w:rFonts w:ascii="Times New Roman" w:hAnsi="Times New Roman" w:cs="Times New Roman"/>
        </w:rPr>
        <w:t xml:space="preserve"> for Economic Co-operation and Development (OECD) recommends that tax administrations adopt transparent and fair procedures, ensuring that taxpayers have the right to appeal and that enforcement actions are proportionate. These best practices aim to build trust in the tax system and encourage voluntary compliance.</w:t>
      </w:r>
    </w:p>
    <w:p w14:paraId="28A947A5" w14:textId="41D3057B" w:rsidR="00946D40" w:rsidRDefault="00946D40" w:rsidP="00946D40">
      <w:pPr>
        <w:jc w:val="both"/>
        <w:rPr>
          <w:rFonts w:ascii="Times New Roman" w:hAnsi="Times New Roman" w:cs="Times New Roman"/>
          <w:b/>
          <w:bCs/>
        </w:rPr>
      </w:pPr>
      <w:r w:rsidRPr="00946D40">
        <w:rPr>
          <w:rFonts w:ascii="Times New Roman" w:hAnsi="Times New Roman" w:cs="Times New Roman"/>
          <w:b/>
          <w:bCs/>
        </w:rPr>
        <w:t>Call for Reassessment:</w:t>
      </w:r>
    </w:p>
    <w:p w14:paraId="4C4395BC" w14:textId="03482DF4" w:rsidR="00C27ABA" w:rsidRDefault="00C27ABA" w:rsidP="00C27ABA">
      <w:pPr>
        <w:jc w:val="both"/>
        <w:rPr>
          <w:rFonts w:ascii="Times New Roman" w:hAnsi="Times New Roman" w:cs="Times New Roman"/>
        </w:rPr>
      </w:pPr>
      <w:r w:rsidRPr="00C27ABA">
        <w:rPr>
          <w:rFonts w:ascii="Times New Roman" w:hAnsi="Times New Roman" w:cs="Times New Roman"/>
        </w:rPr>
        <w:t>Under the many reforms suggested by commissions and donor reports</w:t>
      </w:r>
      <w:r>
        <w:rPr>
          <w:rFonts w:ascii="Times New Roman" w:hAnsi="Times New Roman" w:cs="Times New Roman"/>
        </w:rPr>
        <w:t>, an</w:t>
      </w:r>
      <w:r w:rsidRPr="00C27ABA">
        <w:rPr>
          <w:rFonts w:ascii="Times New Roman" w:hAnsi="Times New Roman" w:cs="Times New Roman"/>
        </w:rPr>
        <w:t xml:space="preserve"> element of certainty and transparency was highlighted. </w:t>
      </w:r>
      <w:r>
        <w:rPr>
          <w:rFonts w:ascii="Times New Roman" w:hAnsi="Times New Roman" w:cs="Times New Roman"/>
        </w:rPr>
        <w:t>Moreover,</w:t>
      </w:r>
      <w:r w:rsidRPr="00C27ABA">
        <w:rPr>
          <w:rFonts w:ascii="Times New Roman" w:hAnsi="Times New Roman" w:cs="Times New Roman"/>
        </w:rPr>
        <w:t xml:space="preserve"> a</w:t>
      </w:r>
      <w:r>
        <w:rPr>
          <w:rFonts w:ascii="Times New Roman" w:hAnsi="Times New Roman" w:cs="Times New Roman"/>
        </w:rPr>
        <w:t xml:space="preserve">ny change in the tax code, with the exception of </w:t>
      </w:r>
      <w:r w:rsidRPr="00C27ABA">
        <w:rPr>
          <w:rFonts w:ascii="Times New Roman" w:hAnsi="Times New Roman" w:cs="Times New Roman"/>
        </w:rPr>
        <w:t>Finance bill/budgets</w:t>
      </w:r>
      <w:r>
        <w:rPr>
          <w:rFonts w:ascii="Times New Roman" w:hAnsi="Times New Roman" w:cs="Times New Roman"/>
        </w:rPr>
        <w:t>,</w:t>
      </w:r>
      <w:r w:rsidRPr="00C27ABA">
        <w:rPr>
          <w:rFonts w:ascii="Times New Roman" w:hAnsi="Times New Roman" w:cs="Times New Roman"/>
        </w:rPr>
        <w:t xml:space="preserve"> was discouraged. Despite FBR </w:t>
      </w:r>
      <w:r>
        <w:rPr>
          <w:rFonts w:ascii="Times New Roman" w:hAnsi="Times New Roman" w:cs="Times New Roman"/>
        </w:rPr>
        <w:t xml:space="preserve">being </w:t>
      </w:r>
      <w:r w:rsidRPr="00C27ABA">
        <w:rPr>
          <w:rFonts w:ascii="Times New Roman" w:hAnsi="Times New Roman" w:cs="Times New Roman"/>
        </w:rPr>
        <w:t xml:space="preserve">in </w:t>
      </w:r>
      <w:r>
        <w:rPr>
          <w:rFonts w:ascii="Times New Roman" w:hAnsi="Times New Roman" w:cs="Times New Roman"/>
        </w:rPr>
        <w:t xml:space="preserve">the </w:t>
      </w:r>
      <w:r w:rsidRPr="00C27ABA">
        <w:rPr>
          <w:rFonts w:ascii="Times New Roman" w:hAnsi="Times New Roman" w:cs="Times New Roman"/>
        </w:rPr>
        <w:t>process of formulating budgetary proposals</w:t>
      </w:r>
      <w:r>
        <w:rPr>
          <w:rFonts w:ascii="Times New Roman" w:hAnsi="Times New Roman" w:cs="Times New Roman"/>
        </w:rPr>
        <w:t>,</w:t>
      </w:r>
      <w:r w:rsidRPr="00C27ABA">
        <w:rPr>
          <w:rFonts w:ascii="Times New Roman" w:hAnsi="Times New Roman" w:cs="Times New Roman"/>
        </w:rPr>
        <w:t xml:space="preserve"> sudden enforcement of major changes in compliance laws does not</w:t>
      </w:r>
      <w:r>
        <w:rPr>
          <w:rFonts w:ascii="Times New Roman" w:hAnsi="Times New Roman" w:cs="Times New Roman"/>
        </w:rPr>
        <w:t xml:space="preserve"> only jeopardi</w:t>
      </w:r>
      <w:r w:rsidRPr="00C27ABA">
        <w:rPr>
          <w:rFonts w:ascii="Times New Roman" w:hAnsi="Times New Roman" w:cs="Times New Roman"/>
        </w:rPr>
        <w:t>z</w:t>
      </w:r>
      <w:r>
        <w:rPr>
          <w:rFonts w:ascii="Times New Roman" w:hAnsi="Times New Roman" w:cs="Times New Roman"/>
        </w:rPr>
        <w:t>e</w:t>
      </w:r>
      <w:r w:rsidRPr="00C27ABA">
        <w:rPr>
          <w:rFonts w:ascii="Times New Roman" w:hAnsi="Times New Roman" w:cs="Times New Roman"/>
        </w:rPr>
        <w:t xml:space="preserve"> the fair and transparent fiscal process but also increases uncertainty about tax laws. </w:t>
      </w:r>
    </w:p>
    <w:p w14:paraId="57860A3C" w14:textId="44A86FD2" w:rsidR="00C27ABA" w:rsidRPr="00946D40" w:rsidRDefault="00C27ABA" w:rsidP="00946D40">
      <w:pPr>
        <w:jc w:val="both"/>
        <w:rPr>
          <w:rFonts w:ascii="Times New Roman" w:hAnsi="Times New Roman" w:cs="Times New Roman"/>
        </w:rPr>
      </w:pPr>
      <w:r w:rsidRPr="00C27ABA">
        <w:rPr>
          <w:rFonts w:ascii="Times New Roman" w:hAnsi="Times New Roman" w:cs="Times New Roman"/>
        </w:rPr>
        <w:t>Businesses are already overburdened with predatory</w:t>
      </w:r>
      <w:r>
        <w:rPr>
          <w:rFonts w:ascii="Times New Roman" w:hAnsi="Times New Roman" w:cs="Times New Roman"/>
        </w:rPr>
        <w:t xml:space="preserve"> tax practices such as business-cho</w:t>
      </w:r>
      <w:r w:rsidRPr="00C27ABA">
        <w:rPr>
          <w:rFonts w:ascii="Times New Roman" w:hAnsi="Times New Roman" w:cs="Times New Roman"/>
        </w:rPr>
        <w:t>king WHT tax regimes, excessive documenta</w:t>
      </w:r>
      <w:r>
        <w:rPr>
          <w:rFonts w:ascii="Times New Roman" w:hAnsi="Times New Roman" w:cs="Times New Roman"/>
        </w:rPr>
        <w:t xml:space="preserve">tion, higher import stage taxes, while refunds and rebates, </w:t>
      </w:r>
      <w:r w:rsidRPr="00C27ABA">
        <w:rPr>
          <w:rFonts w:ascii="Times New Roman" w:hAnsi="Times New Roman" w:cs="Times New Roman"/>
        </w:rPr>
        <w:t>which should be swift and automated</w:t>
      </w:r>
      <w:r>
        <w:rPr>
          <w:rFonts w:ascii="Times New Roman" w:hAnsi="Times New Roman" w:cs="Times New Roman"/>
        </w:rPr>
        <w:t>, are stuck</w:t>
      </w:r>
      <w:r w:rsidRPr="00C27ABA">
        <w:rPr>
          <w:rFonts w:ascii="Times New Roman" w:hAnsi="Times New Roman" w:cs="Times New Roman"/>
        </w:rPr>
        <w:t xml:space="preserve"> and delayed beyond </w:t>
      </w:r>
      <w:r>
        <w:rPr>
          <w:rFonts w:ascii="Times New Roman" w:hAnsi="Times New Roman" w:cs="Times New Roman"/>
        </w:rPr>
        <w:t xml:space="preserve">their </w:t>
      </w:r>
      <w:r w:rsidRPr="00C27ABA">
        <w:rPr>
          <w:rFonts w:ascii="Times New Roman" w:hAnsi="Times New Roman" w:cs="Times New Roman"/>
        </w:rPr>
        <w:t>normal timeframe. Such abrupt measures would only increase distrust on the government and increase informality in the economy and retard growth</w:t>
      </w:r>
      <w:r>
        <w:rPr>
          <w:rFonts w:ascii="Times New Roman" w:hAnsi="Times New Roman" w:cs="Times New Roman"/>
        </w:rPr>
        <w:t>.</w:t>
      </w:r>
    </w:p>
    <w:p w14:paraId="012E58F1"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In view of these concerns, TPAP and PRIME jointly urge the government to:</w:t>
      </w:r>
    </w:p>
    <w:p w14:paraId="6A16BA6A" w14:textId="77777777" w:rsidR="00946D40" w:rsidRPr="00946D40" w:rsidRDefault="00946D40" w:rsidP="00946D40">
      <w:pPr>
        <w:numPr>
          <w:ilvl w:val="0"/>
          <w:numId w:val="2"/>
        </w:numPr>
        <w:spacing w:after="200" w:line="276" w:lineRule="auto"/>
        <w:jc w:val="both"/>
        <w:rPr>
          <w:rFonts w:ascii="Times New Roman" w:hAnsi="Times New Roman" w:cs="Times New Roman"/>
        </w:rPr>
      </w:pPr>
      <w:r w:rsidRPr="00946D40">
        <w:rPr>
          <w:rFonts w:ascii="Times New Roman" w:hAnsi="Times New Roman" w:cs="Times New Roman"/>
        </w:rPr>
        <w:t>Ensure taxpayers retain the right to be heard before enforcement actions.</w:t>
      </w:r>
    </w:p>
    <w:p w14:paraId="04FA5C70" w14:textId="77777777" w:rsidR="00946D40" w:rsidRPr="00946D40" w:rsidRDefault="00946D40" w:rsidP="00946D40">
      <w:pPr>
        <w:numPr>
          <w:ilvl w:val="0"/>
          <w:numId w:val="2"/>
        </w:numPr>
        <w:spacing w:after="200" w:line="276" w:lineRule="auto"/>
        <w:jc w:val="both"/>
        <w:rPr>
          <w:rFonts w:ascii="Times New Roman" w:hAnsi="Times New Roman" w:cs="Times New Roman"/>
        </w:rPr>
      </w:pPr>
      <w:r w:rsidRPr="00946D40">
        <w:rPr>
          <w:rFonts w:ascii="Times New Roman" w:hAnsi="Times New Roman" w:cs="Times New Roman"/>
        </w:rPr>
        <w:t>Align enforcement mechanisms with due process and judicial safeguards.</w:t>
      </w:r>
    </w:p>
    <w:p w14:paraId="13B8F128" w14:textId="77777777" w:rsidR="00946D40" w:rsidRPr="00946D40" w:rsidRDefault="00946D40" w:rsidP="00946D40">
      <w:pPr>
        <w:numPr>
          <w:ilvl w:val="0"/>
          <w:numId w:val="2"/>
        </w:numPr>
        <w:spacing w:after="200" w:line="276" w:lineRule="auto"/>
        <w:jc w:val="both"/>
        <w:rPr>
          <w:rFonts w:ascii="Times New Roman" w:hAnsi="Times New Roman" w:cs="Times New Roman"/>
        </w:rPr>
      </w:pPr>
      <w:r w:rsidRPr="00946D40">
        <w:rPr>
          <w:rFonts w:ascii="Times New Roman" w:hAnsi="Times New Roman" w:cs="Times New Roman"/>
        </w:rPr>
        <w:t>Maintain the independence and authority of the judiciary in tax-related matters.</w:t>
      </w:r>
    </w:p>
    <w:p w14:paraId="39085569" w14:textId="77777777" w:rsidR="00946D40" w:rsidRPr="00946D40" w:rsidRDefault="00946D40" w:rsidP="00946D40">
      <w:pPr>
        <w:numPr>
          <w:ilvl w:val="0"/>
          <w:numId w:val="2"/>
        </w:numPr>
        <w:spacing w:after="200" w:line="276" w:lineRule="auto"/>
        <w:jc w:val="both"/>
        <w:rPr>
          <w:rFonts w:ascii="Times New Roman" w:hAnsi="Times New Roman" w:cs="Times New Roman"/>
        </w:rPr>
      </w:pPr>
      <w:r w:rsidRPr="00946D40">
        <w:rPr>
          <w:rFonts w:ascii="Times New Roman" w:hAnsi="Times New Roman" w:cs="Times New Roman"/>
        </w:rPr>
        <w:t>Foster a collaborative approach that supports long-term tax compliance.</w:t>
      </w:r>
    </w:p>
    <w:p w14:paraId="0FC17ABC"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 government has previously stated its commitment to promoting business and streamlining refund processes, as noted in the Revenue Division Yearbook 2023–24. In this context, the Ordinance's timing and scope may appear inconsistent with those stated objectives.</w:t>
      </w:r>
    </w:p>
    <w:p w14:paraId="0C8E2CC2" w14:textId="25FA1A10" w:rsidR="00946D40" w:rsidRDefault="00946D40" w:rsidP="00946D40">
      <w:pPr>
        <w:jc w:val="both"/>
        <w:rPr>
          <w:rFonts w:ascii="Times New Roman" w:hAnsi="Times New Roman" w:cs="Times New Roman"/>
        </w:rPr>
      </w:pPr>
      <w:r w:rsidRPr="00946D40">
        <w:rPr>
          <w:rFonts w:ascii="Times New Roman" w:hAnsi="Times New Roman" w:cs="Times New Roman"/>
        </w:rPr>
        <w:t xml:space="preserve">Effective tax administration must balance the need for timely revenue collection with the obligation to uphold taxpayer rights and legal safeguards. TPAP and PRIME encourage an </w:t>
      </w:r>
      <w:r w:rsidRPr="00946D40">
        <w:rPr>
          <w:rFonts w:ascii="Times New Roman" w:hAnsi="Times New Roman" w:cs="Times New Roman"/>
        </w:rPr>
        <w:lastRenderedPageBreak/>
        <w:t>inclusive dialogue involving policymakers, legal experts, and civil society to ensure that any future amendments support both fiscal responsibility and constitutional integrity.</w:t>
      </w:r>
    </w:p>
    <w:p w14:paraId="4557B344" w14:textId="77777777" w:rsidR="00946D40" w:rsidRPr="00946D40" w:rsidRDefault="00946D40" w:rsidP="00946D40">
      <w:pPr>
        <w:jc w:val="both"/>
        <w:rPr>
          <w:rFonts w:ascii="Times New Roman" w:hAnsi="Times New Roman" w:cs="Times New Roman"/>
          <w:b/>
          <w:bCs/>
        </w:rPr>
      </w:pPr>
      <w:r w:rsidRPr="00946D40">
        <w:rPr>
          <w:rFonts w:ascii="Times New Roman" w:hAnsi="Times New Roman" w:cs="Times New Roman"/>
          <w:b/>
          <w:bCs/>
        </w:rPr>
        <w:t>About TPAP:</w:t>
      </w:r>
    </w:p>
    <w:p w14:paraId="508518A9"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Tax Payers Alliance Pakistan (TPAP) is a citizen-led initiative advocating for a simplified and equitable tax regime. Hosted by PRIME Institute, it aims to foster constructive engagement with public policy and promote responsible taxation practices.</w:t>
      </w:r>
    </w:p>
    <w:p w14:paraId="1D0FE6E2" w14:textId="0561B396" w:rsidR="00946D40" w:rsidRPr="00946D40" w:rsidRDefault="00010C83" w:rsidP="00946D40">
      <w:pPr>
        <w:jc w:val="both"/>
        <w:rPr>
          <w:rFonts w:ascii="Times New Roman" w:hAnsi="Times New Roman" w:cs="Times New Roman"/>
          <w:b/>
          <w:bCs/>
        </w:rPr>
      </w:pPr>
      <w:r>
        <w:rPr>
          <w:rFonts w:ascii="Times New Roman" w:hAnsi="Times New Roman" w:cs="Times New Roman"/>
          <w:b/>
          <w:bCs/>
        </w:rPr>
        <w:t>About PRIME</w:t>
      </w:r>
      <w:r w:rsidR="00946D40" w:rsidRPr="00946D40">
        <w:rPr>
          <w:rFonts w:ascii="Times New Roman" w:hAnsi="Times New Roman" w:cs="Times New Roman"/>
          <w:b/>
          <w:bCs/>
        </w:rPr>
        <w:t>:</w:t>
      </w:r>
    </w:p>
    <w:p w14:paraId="06193DA1" w14:textId="77777777" w:rsidR="00946D40" w:rsidRPr="00946D40" w:rsidRDefault="00946D40" w:rsidP="00946D40">
      <w:pPr>
        <w:jc w:val="both"/>
        <w:rPr>
          <w:rFonts w:ascii="Times New Roman" w:hAnsi="Times New Roman" w:cs="Times New Roman"/>
        </w:rPr>
      </w:pPr>
      <w:r w:rsidRPr="00946D40">
        <w:rPr>
          <w:rFonts w:ascii="Times New Roman" w:hAnsi="Times New Roman" w:cs="Times New Roman"/>
        </w:rPr>
        <w:t>The Policy Research Institute of Market Economy (PRIME) is an independent think tank dedicated to advancing economic freedom and evidence-based policy reform in Pakistan.</w:t>
      </w:r>
    </w:p>
    <w:p w14:paraId="3B47803A" w14:textId="4203C596" w:rsidR="001433C3" w:rsidRDefault="00946D40" w:rsidP="00946D40">
      <w:pPr>
        <w:rPr>
          <w:rFonts w:ascii="Times New Roman" w:hAnsi="Times New Roman" w:cs="Times New Roman"/>
        </w:rPr>
      </w:pPr>
      <w:r w:rsidRPr="00946D40">
        <w:rPr>
          <w:rFonts w:ascii="Times New Roman" w:hAnsi="Times New Roman" w:cs="Times New Roman"/>
          <w:b/>
          <w:bCs/>
        </w:rPr>
        <w:t>For media inquiries, please contact:</w:t>
      </w:r>
      <w:r w:rsidR="0053309D" w:rsidRPr="00946D40">
        <w:rPr>
          <w:rFonts w:ascii="Times New Roman" w:hAnsi="Times New Roman" w:cs="Times New Roman"/>
        </w:rPr>
        <w:br/>
      </w:r>
      <w:proofErr w:type="spellStart"/>
      <w:r w:rsidR="0053309D" w:rsidRPr="00946D40">
        <w:rPr>
          <w:rFonts w:ascii="Times New Roman" w:hAnsi="Times New Roman" w:cs="Times New Roman"/>
        </w:rPr>
        <w:t>Sumaira</w:t>
      </w:r>
      <w:proofErr w:type="spellEnd"/>
      <w:r w:rsidR="0053309D" w:rsidRPr="00946D40">
        <w:rPr>
          <w:rFonts w:ascii="Times New Roman" w:hAnsi="Times New Roman" w:cs="Times New Roman"/>
        </w:rPr>
        <w:t xml:space="preserve"> Waseem</w:t>
      </w:r>
      <w:r w:rsidR="0053309D" w:rsidRPr="00946D40">
        <w:rPr>
          <w:rFonts w:ascii="Times New Roman" w:hAnsi="Times New Roman" w:cs="Times New Roman"/>
        </w:rPr>
        <w:br/>
        <w:t>Communications Officer, PRIME</w:t>
      </w:r>
      <w:r w:rsidR="0053309D" w:rsidRPr="00946D40">
        <w:rPr>
          <w:rFonts w:ascii="Times New Roman" w:hAnsi="Times New Roman" w:cs="Times New Roman"/>
        </w:rPr>
        <w:br/>
        <w:t xml:space="preserve">Email: </w:t>
      </w:r>
      <w:hyperlink r:id="rId7" w:history="1">
        <w:r w:rsidR="0053309D" w:rsidRPr="00946D40">
          <w:rPr>
            <w:rStyle w:val="Hyperlink"/>
            <w:rFonts w:ascii="Times New Roman" w:hAnsi="Times New Roman" w:cs="Times New Roman"/>
          </w:rPr>
          <w:t>sumaira@primeinstitute.org</w:t>
        </w:r>
      </w:hyperlink>
      <w:r w:rsidR="0053309D" w:rsidRPr="00946D40">
        <w:rPr>
          <w:rFonts w:ascii="Times New Roman" w:hAnsi="Times New Roman" w:cs="Times New Roman"/>
        </w:rPr>
        <w:t xml:space="preserve"> </w:t>
      </w:r>
    </w:p>
    <w:p w14:paraId="25BFEF39" w14:textId="4F492E7B" w:rsidR="00FC1F16" w:rsidRDefault="00FC1F16" w:rsidP="00946D40">
      <w:pPr>
        <w:rPr>
          <w:rFonts w:ascii="Times New Roman" w:hAnsi="Times New Roman" w:cs="Times New Roman"/>
        </w:rPr>
      </w:pPr>
    </w:p>
    <w:p w14:paraId="2AAD3432" w14:textId="313A0ADA" w:rsidR="00FC1F16" w:rsidRDefault="00A65C46" w:rsidP="00A65C46">
      <w:pPr>
        <w:rPr>
          <w:rFonts w:ascii="Times New Roman" w:hAnsi="Times New Roman" w:cs="Times New Roman"/>
          <w:b/>
          <w:bCs/>
        </w:rPr>
      </w:pPr>
      <w:hyperlink r:id="rId8" w:history="1">
        <w:r w:rsidR="00FC1F16" w:rsidRPr="00B722F9">
          <w:rPr>
            <w:rStyle w:val="Hyperlink"/>
            <w:rFonts w:ascii="Times New Roman" w:hAnsi="Times New Roman" w:cs="Times New Roman"/>
            <w:b/>
            <w:bCs/>
          </w:rPr>
          <w:t>https://www.thenews.com.pk/print/1309307-tpap-prime-raise-concerns-over-tax-amendments</w:t>
        </w:r>
      </w:hyperlink>
      <w:bookmarkStart w:id="0" w:name="_GoBack"/>
      <w:bookmarkEnd w:id="0"/>
    </w:p>
    <w:p w14:paraId="3AA271BB" w14:textId="77777777" w:rsidR="00FC1F16" w:rsidRPr="00946D40" w:rsidRDefault="00FC1F16" w:rsidP="00946D40">
      <w:pPr>
        <w:rPr>
          <w:rFonts w:ascii="Times New Roman" w:hAnsi="Times New Roman" w:cs="Times New Roman"/>
          <w:b/>
          <w:bCs/>
        </w:rPr>
      </w:pPr>
    </w:p>
    <w:sectPr w:rsidR="00FC1F16" w:rsidRPr="00946D40" w:rsidSect="00D9052D">
      <w:pgSz w:w="12240" w:h="15840"/>
      <w:pgMar w:top="1440" w:right="1440" w:bottom="1440" w:left="1440" w:header="720" w:footer="720" w:gutter="0"/>
      <w:pgBorders w:offsetFrom="page">
        <w:top w:val="single" w:sz="4" w:space="24" w:color="ED7D31" w:themeColor="accent2"/>
        <w:left w:val="single" w:sz="4" w:space="24" w:color="ED7D31" w:themeColor="accent2"/>
        <w:bottom w:val="single" w:sz="4" w:space="24" w:color="ED7D31" w:themeColor="accent2"/>
        <w:right w:val="single" w:sz="4"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F5A9C"/>
    <w:multiLevelType w:val="multilevel"/>
    <w:tmpl w:val="A23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059C4"/>
    <w:multiLevelType w:val="multilevel"/>
    <w:tmpl w:val="146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1CD"/>
    <w:rsid w:val="00010C83"/>
    <w:rsid w:val="0003493D"/>
    <w:rsid w:val="00097FBA"/>
    <w:rsid w:val="000B4E35"/>
    <w:rsid w:val="000D14FB"/>
    <w:rsid w:val="00133ED6"/>
    <w:rsid w:val="001433C3"/>
    <w:rsid w:val="00181358"/>
    <w:rsid w:val="001917A9"/>
    <w:rsid w:val="002416B3"/>
    <w:rsid w:val="0024628F"/>
    <w:rsid w:val="00532A4A"/>
    <w:rsid w:val="0053309D"/>
    <w:rsid w:val="00542E79"/>
    <w:rsid w:val="00627584"/>
    <w:rsid w:val="00727005"/>
    <w:rsid w:val="00752830"/>
    <w:rsid w:val="007616EA"/>
    <w:rsid w:val="00771670"/>
    <w:rsid w:val="007D0B66"/>
    <w:rsid w:val="007E51E5"/>
    <w:rsid w:val="007F3D3C"/>
    <w:rsid w:val="008221CD"/>
    <w:rsid w:val="008441E0"/>
    <w:rsid w:val="00857F97"/>
    <w:rsid w:val="009128D8"/>
    <w:rsid w:val="00946D40"/>
    <w:rsid w:val="00965EB4"/>
    <w:rsid w:val="00A04261"/>
    <w:rsid w:val="00A65C46"/>
    <w:rsid w:val="00A97CB1"/>
    <w:rsid w:val="00AE3E6E"/>
    <w:rsid w:val="00B90430"/>
    <w:rsid w:val="00BF6027"/>
    <w:rsid w:val="00C27ABA"/>
    <w:rsid w:val="00CD2580"/>
    <w:rsid w:val="00CE6696"/>
    <w:rsid w:val="00D5627E"/>
    <w:rsid w:val="00D9052D"/>
    <w:rsid w:val="00E07A6B"/>
    <w:rsid w:val="00F02129"/>
    <w:rsid w:val="00F050EE"/>
    <w:rsid w:val="00FC1F16"/>
    <w:rsid w:val="00FE0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446B"/>
  <w15:chartTrackingRefBased/>
  <w15:docId w15:val="{B7320E2A-978D-40E2-AC0A-6D9C192E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2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1CD"/>
    <w:rPr>
      <w:rFonts w:eastAsiaTheme="majorEastAsia" w:cstheme="majorBidi"/>
      <w:color w:val="272727" w:themeColor="text1" w:themeTint="D8"/>
    </w:rPr>
  </w:style>
  <w:style w:type="paragraph" w:styleId="Title">
    <w:name w:val="Title"/>
    <w:basedOn w:val="Normal"/>
    <w:next w:val="Normal"/>
    <w:link w:val="TitleChar"/>
    <w:uiPriority w:val="10"/>
    <w:qFormat/>
    <w:rsid w:val="00822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1CD"/>
    <w:pPr>
      <w:spacing w:before="160"/>
      <w:jc w:val="center"/>
    </w:pPr>
    <w:rPr>
      <w:i/>
      <w:iCs/>
      <w:color w:val="404040" w:themeColor="text1" w:themeTint="BF"/>
    </w:rPr>
  </w:style>
  <w:style w:type="character" w:customStyle="1" w:styleId="QuoteChar">
    <w:name w:val="Quote Char"/>
    <w:basedOn w:val="DefaultParagraphFont"/>
    <w:link w:val="Quote"/>
    <w:uiPriority w:val="29"/>
    <w:rsid w:val="008221CD"/>
    <w:rPr>
      <w:i/>
      <w:iCs/>
      <w:color w:val="404040" w:themeColor="text1" w:themeTint="BF"/>
    </w:rPr>
  </w:style>
  <w:style w:type="paragraph" w:styleId="ListParagraph">
    <w:name w:val="List Paragraph"/>
    <w:basedOn w:val="Normal"/>
    <w:uiPriority w:val="34"/>
    <w:qFormat/>
    <w:rsid w:val="008221CD"/>
    <w:pPr>
      <w:ind w:left="720"/>
      <w:contextualSpacing/>
    </w:pPr>
  </w:style>
  <w:style w:type="character" w:styleId="IntenseEmphasis">
    <w:name w:val="Intense Emphasis"/>
    <w:basedOn w:val="DefaultParagraphFont"/>
    <w:uiPriority w:val="21"/>
    <w:qFormat/>
    <w:rsid w:val="008221CD"/>
    <w:rPr>
      <w:i/>
      <w:iCs/>
      <w:color w:val="2F5496" w:themeColor="accent1" w:themeShade="BF"/>
    </w:rPr>
  </w:style>
  <w:style w:type="paragraph" w:styleId="IntenseQuote">
    <w:name w:val="Intense Quote"/>
    <w:basedOn w:val="Normal"/>
    <w:next w:val="Normal"/>
    <w:link w:val="IntenseQuoteChar"/>
    <w:uiPriority w:val="30"/>
    <w:qFormat/>
    <w:rsid w:val="00822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1CD"/>
    <w:rPr>
      <w:i/>
      <w:iCs/>
      <w:color w:val="2F5496" w:themeColor="accent1" w:themeShade="BF"/>
    </w:rPr>
  </w:style>
  <w:style w:type="character" w:styleId="IntenseReference">
    <w:name w:val="Intense Reference"/>
    <w:basedOn w:val="DefaultParagraphFont"/>
    <w:uiPriority w:val="32"/>
    <w:qFormat/>
    <w:rsid w:val="008221CD"/>
    <w:rPr>
      <w:b/>
      <w:bCs/>
      <w:smallCaps/>
      <w:color w:val="2F5496" w:themeColor="accent1" w:themeShade="BF"/>
      <w:spacing w:val="5"/>
    </w:rPr>
  </w:style>
  <w:style w:type="character" w:styleId="Hyperlink">
    <w:name w:val="Hyperlink"/>
    <w:basedOn w:val="DefaultParagraphFont"/>
    <w:uiPriority w:val="99"/>
    <w:unhideWhenUsed/>
    <w:rsid w:val="0053309D"/>
    <w:rPr>
      <w:color w:val="0563C1" w:themeColor="hyperlink"/>
      <w:u w:val="single"/>
    </w:rPr>
  </w:style>
  <w:style w:type="character" w:customStyle="1" w:styleId="UnresolvedMention">
    <w:name w:val="Unresolved Mention"/>
    <w:basedOn w:val="DefaultParagraphFont"/>
    <w:uiPriority w:val="99"/>
    <w:semiHidden/>
    <w:unhideWhenUsed/>
    <w:rsid w:val="0053309D"/>
    <w:rPr>
      <w:color w:val="605E5C"/>
      <w:shd w:val="clear" w:color="auto" w:fill="E1DFDD"/>
    </w:rPr>
  </w:style>
  <w:style w:type="character" w:styleId="CommentReference">
    <w:name w:val="annotation reference"/>
    <w:basedOn w:val="DefaultParagraphFont"/>
    <w:uiPriority w:val="99"/>
    <w:semiHidden/>
    <w:unhideWhenUsed/>
    <w:rsid w:val="00D5627E"/>
    <w:rPr>
      <w:sz w:val="16"/>
      <w:szCs w:val="16"/>
    </w:rPr>
  </w:style>
  <w:style w:type="paragraph" w:styleId="CommentText">
    <w:name w:val="annotation text"/>
    <w:basedOn w:val="Normal"/>
    <w:link w:val="CommentTextChar"/>
    <w:uiPriority w:val="99"/>
    <w:semiHidden/>
    <w:unhideWhenUsed/>
    <w:rsid w:val="00D5627E"/>
    <w:pPr>
      <w:spacing w:line="240" w:lineRule="auto"/>
    </w:pPr>
    <w:rPr>
      <w:sz w:val="20"/>
      <w:szCs w:val="20"/>
    </w:rPr>
  </w:style>
  <w:style w:type="character" w:customStyle="1" w:styleId="CommentTextChar">
    <w:name w:val="Comment Text Char"/>
    <w:basedOn w:val="DefaultParagraphFont"/>
    <w:link w:val="CommentText"/>
    <w:uiPriority w:val="99"/>
    <w:semiHidden/>
    <w:rsid w:val="00D5627E"/>
    <w:rPr>
      <w:sz w:val="20"/>
      <w:szCs w:val="20"/>
    </w:rPr>
  </w:style>
  <w:style w:type="paragraph" w:styleId="CommentSubject">
    <w:name w:val="annotation subject"/>
    <w:basedOn w:val="CommentText"/>
    <w:next w:val="CommentText"/>
    <w:link w:val="CommentSubjectChar"/>
    <w:uiPriority w:val="99"/>
    <w:semiHidden/>
    <w:unhideWhenUsed/>
    <w:rsid w:val="00D5627E"/>
    <w:rPr>
      <w:b/>
      <w:bCs/>
    </w:rPr>
  </w:style>
  <w:style w:type="character" w:customStyle="1" w:styleId="CommentSubjectChar">
    <w:name w:val="Comment Subject Char"/>
    <w:basedOn w:val="CommentTextChar"/>
    <w:link w:val="CommentSubject"/>
    <w:uiPriority w:val="99"/>
    <w:semiHidden/>
    <w:rsid w:val="00D5627E"/>
    <w:rPr>
      <w:b/>
      <w:bCs/>
      <w:sz w:val="20"/>
      <w:szCs w:val="20"/>
    </w:rPr>
  </w:style>
  <w:style w:type="paragraph" w:styleId="NormalWeb">
    <w:name w:val="Normal (Web)"/>
    <w:basedOn w:val="Normal"/>
    <w:uiPriority w:val="99"/>
    <w:unhideWhenUsed/>
    <w:rsid w:val="007F3D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76079">
      <w:bodyDiv w:val="1"/>
      <w:marLeft w:val="0"/>
      <w:marRight w:val="0"/>
      <w:marTop w:val="0"/>
      <w:marBottom w:val="0"/>
      <w:divBdr>
        <w:top w:val="none" w:sz="0" w:space="0" w:color="auto"/>
        <w:left w:val="none" w:sz="0" w:space="0" w:color="auto"/>
        <w:bottom w:val="none" w:sz="0" w:space="0" w:color="auto"/>
        <w:right w:val="none" w:sz="0" w:space="0" w:color="auto"/>
      </w:divBdr>
    </w:div>
    <w:div w:id="454520185">
      <w:bodyDiv w:val="1"/>
      <w:marLeft w:val="0"/>
      <w:marRight w:val="0"/>
      <w:marTop w:val="0"/>
      <w:marBottom w:val="0"/>
      <w:divBdr>
        <w:top w:val="none" w:sz="0" w:space="0" w:color="auto"/>
        <w:left w:val="none" w:sz="0" w:space="0" w:color="auto"/>
        <w:bottom w:val="none" w:sz="0" w:space="0" w:color="auto"/>
        <w:right w:val="none" w:sz="0" w:space="0" w:color="auto"/>
      </w:divBdr>
    </w:div>
    <w:div w:id="681128692">
      <w:bodyDiv w:val="1"/>
      <w:marLeft w:val="0"/>
      <w:marRight w:val="0"/>
      <w:marTop w:val="0"/>
      <w:marBottom w:val="0"/>
      <w:divBdr>
        <w:top w:val="none" w:sz="0" w:space="0" w:color="auto"/>
        <w:left w:val="none" w:sz="0" w:space="0" w:color="auto"/>
        <w:bottom w:val="none" w:sz="0" w:space="0" w:color="auto"/>
        <w:right w:val="none" w:sz="0" w:space="0" w:color="auto"/>
      </w:divBdr>
    </w:div>
    <w:div w:id="949165749">
      <w:bodyDiv w:val="1"/>
      <w:marLeft w:val="0"/>
      <w:marRight w:val="0"/>
      <w:marTop w:val="0"/>
      <w:marBottom w:val="0"/>
      <w:divBdr>
        <w:top w:val="none" w:sz="0" w:space="0" w:color="auto"/>
        <w:left w:val="none" w:sz="0" w:space="0" w:color="auto"/>
        <w:bottom w:val="none" w:sz="0" w:space="0" w:color="auto"/>
        <w:right w:val="none" w:sz="0" w:space="0" w:color="auto"/>
      </w:divBdr>
    </w:div>
    <w:div w:id="1011954021">
      <w:bodyDiv w:val="1"/>
      <w:marLeft w:val="0"/>
      <w:marRight w:val="0"/>
      <w:marTop w:val="0"/>
      <w:marBottom w:val="0"/>
      <w:divBdr>
        <w:top w:val="none" w:sz="0" w:space="0" w:color="auto"/>
        <w:left w:val="none" w:sz="0" w:space="0" w:color="auto"/>
        <w:bottom w:val="none" w:sz="0" w:space="0" w:color="auto"/>
        <w:right w:val="none" w:sz="0" w:space="0" w:color="auto"/>
      </w:divBdr>
    </w:div>
    <w:div w:id="1108427849">
      <w:bodyDiv w:val="1"/>
      <w:marLeft w:val="0"/>
      <w:marRight w:val="0"/>
      <w:marTop w:val="0"/>
      <w:marBottom w:val="0"/>
      <w:divBdr>
        <w:top w:val="none" w:sz="0" w:space="0" w:color="auto"/>
        <w:left w:val="none" w:sz="0" w:space="0" w:color="auto"/>
        <w:bottom w:val="none" w:sz="0" w:space="0" w:color="auto"/>
        <w:right w:val="none" w:sz="0" w:space="0" w:color="auto"/>
      </w:divBdr>
    </w:div>
    <w:div w:id="2104375512">
      <w:bodyDiv w:val="1"/>
      <w:marLeft w:val="0"/>
      <w:marRight w:val="0"/>
      <w:marTop w:val="0"/>
      <w:marBottom w:val="0"/>
      <w:divBdr>
        <w:top w:val="none" w:sz="0" w:space="0" w:color="auto"/>
        <w:left w:val="none" w:sz="0" w:space="0" w:color="auto"/>
        <w:bottom w:val="none" w:sz="0" w:space="0" w:color="auto"/>
        <w:right w:val="none" w:sz="0" w:space="0" w:color="auto"/>
      </w:divBdr>
    </w:div>
    <w:div w:id="211990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ews.com.pk/print/1309307-tpap-prime-raise-concerns-over-tax-amendments" TargetMode="External"/><Relationship Id="rId3" Type="http://schemas.openxmlformats.org/officeDocument/2006/relationships/settings" Target="settings.xml"/><Relationship Id="rId7" Type="http://schemas.openxmlformats.org/officeDocument/2006/relationships/hyperlink" Target="mailto:sumaira@primeinstitut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TUAHA ADIL</dc:creator>
  <cp:keywords/>
  <dc:description/>
  <cp:lastModifiedBy>Muhammad Anas Farhan</cp:lastModifiedBy>
  <cp:revision>13</cp:revision>
  <cp:lastPrinted>2025-05-01T08:58:00Z</cp:lastPrinted>
  <dcterms:created xsi:type="dcterms:W3CDTF">2025-05-06T08:46:00Z</dcterms:created>
  <dcterms:modified xsi:type="dcterms:W3CDTF">2026-06-04T12:18:00Z</dcterms:modified>
</cp:coreProperties>
</file>