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1D7" w:rsidRPr="00EE566E" w:rsidRDefault="000841D7" w:rsidP="00777764">
      <w:pPr>
        <w:spacing w:after="0" w:line="240" w:lineRule="auto"/>
        <w:jc w:val="center"/>
        <w:rPr>
          <w:rFonts w:asciiTheme="majorBidi" w:hAnsiTheme="majorBidi" w:cstheme="majorBidi"/>
          <w:b/>
          <w:bCs/>
        </w:rPr>
      </w:pPr>
      <w:r w:rsidRPr="00EE566E">
        <w:rPr>
          <w:rFonts w:asciiTheme="majorBidi" w:hAnsiTheme="majorBidi" w:cstheme="majorBidi"/>
          <w:b/>
          <w:bCs/>
        </w:rPr>
        <w:t>TAX PAYERS ALLIANCE PAKISTAN (TPAP) CALL</w:t>
      </w:r>
      <w:r w:rsidR="00777764">
        <w:rPr>
          <w:rFonts w:asciiTheme="majorBidi" w:hAnsiTheme="majorBidi" w:cstheme="majorBidi"/>
          <w:b/>
          <w:bCs/>
        </w:rPr>
        <w:t>S</w:t>
      </w:r>
      <w:r w:rsidRPr="00EE566E">
        <w:rPr>
          <w:rFonts w:asciiTheme="majorBidi" w:hAnsiTheme="majorBidi" w:cstheme="majorBidi"/>
          <w:b/>
          <w:bCs/>
        </w:rPr>
        <w:t xml:space="preserve"> FOR ABOLISHMENT OF </w:t>
      </w:r>
    </w:p>
    <w:p w:rsidR="000841D7" w:rsidRPr="00EE566E" w:rsidRDefault="000841D7" w:rsidP="000841D7">
      <w:pPr>
        <w:spacing w:after="0" w:line="240" w:lineRule="auto"/>
        <w:jc w:val="center"/>
        <w:rPr>
          <w:rFonts w:asciiTheme="majorBidi" w:hAnsiTheme="majorBidi" w:cstheme="majorBidi"/>
          <w:b/>
          <w:bCs/>
        </w:rPr>
      </w:pPr>
      <w:r w:rsidRPr="00EE566E">
        <w:rPr>
          <w:rFonts w:asciiTheme="majorBidi" w:hAnsiTheme="majorBidi" w:cstheme="majorBidi"/>
          <w:b/>
          <w:bCs/>
        </w:rPr>
        <w:t xml:space="preserve">SECTION 37A &amp; 37B OF </w:t>
      </w:r>
      <w:r w:rsidR="00777764">
        <w:rPr>
          <w:rFonts w:asciiTheme="majorBidi" w:hAnsiTheme="majorBidi" w:cstheme="majorBidi"/>
          <w:b/>
          <w:bCs/>
        </w:rPr>
        <w:t xml:space="preserve">THE </w:t>
      </w:r>
      <w:r w:rsidRPr="00EE566E">
        <w:rPr>
          <w:rFonts w:asciiTheme="majorBidi" w:hAnsiTheme="majorBidi" w:cstheme="majorBidi"/>
          <w:b/>
          <w:bCs/>
        </w:rPr>
        <w:t xml:space="preserve">SALES TAX ACT, 1990 AND </w:t>
      </w:r>
    </w:p>
    <w:p w:rsidR="000841D7" w:rsidRPr="00EE566E" w:rsidRDefault="000841D7" w:rsidP="000841D7">
      <w:pPr>
        <w:spacing w:after="0" w:line="240" w:lineRule="auto"/>
        <w:jc w:val="center"/>
        <w:rPr>
          <w:rFonts w:asciiTheme="majorBidi" w:hAnsiTheme="majorBidi" w:cstheme="majorBidi"/>
          <w:b/>
          <w:bCs/>
        </w:rPr>
      </w:pPr>
      <w:r w:rsidRPr="00EE566E">
        <w:rPr>
          <w:rFonts w:asciiTheme="majorBidi" w:hAnsiTheme="majorBidi" w:cstheme="majorBidi"/>
          <w:b/>
          <w:bCs/>
        </w:rPr>
        <w:t xml:space="preserve">SECTION 21(s) OF </w:t>
      </w:r>
      <w:r w:rsidR="00777764">
        <w:rPr>
          <w:rFonts w:asciiTheme="majorBidi" w:hAnsiTheme="majorBidi" w:cstheme="majorBidi"/>
          <w:b/>
          <w:bCs/>
        </w:rPr>
        <w:t xml:space="preserve">THE </w:t>
      </w:r>
      <w:r w:rsidRPr="00EE566E">
        <w:rPr>
          <w:rFonts w:asciiTheme="majorBidi" w:hAnsiTheme="majorBidi" w:cstheme="majorBidi"/>
          <w:b/>
          <w:bCs/>
        </w:rPr>
        <w:t>INCOME TAX ORDINANCE, 2001</w:t>
      </w:r>
    </w:p>
    <w:p w:rsidR="000841D7" w:rsidRPr="00EE566E" w:rsidRDefault="000841D7" w:rsidP="000841D7">
      <w:pPr>
        <w:spacing w:after="0" w:line="240" w:lineRule="auto"/>
        <w:jc w:val="center"/>
        <w:rPr>
          <w:rFonts w:asciiTheme="majorBidi" w:hAnsiTheme="majorBidi" w:cstheme="majorBidi"/>
          <w:b/>
          <w:bCs/>
          <w:u w:val="single"/>
        </w:rPr>
      </w:pPr>
    </w:p>
    <w:p w:rsidR="000841D7" w:rsidRDefault="000841D7" w:rsidP="000841D7">
      <w:pPr>
        <w:spacing w:after="0" w:line="240" w:lineRule="auto"/>
        <w:jc w:val="both"/>
        <w:rPr>
          <w:rFonts w:asciiTheme="majorBidi" w:eastAsia="Times New Roman" w:hAnsiTheme="majorBidi" w:cstheme="majorBidi"/>
          <w:color w:val="000000"/>
        </w:rPr>
      </w:pPr>
      <w:r w:rsidRPr="00EE566E">
        <w:rPr>
          <w:rFonts w:asciiTheme="majorBidi" w:eastAsia="Times New Roman" w:hAnsiTheme="majorBidi" w:cstheme="majorBidi"/>
          <w:color w:val="000000"/>
        </w:rPr>
        <w:t>For Fiscal Year 2025-26, the government has set a GDP growth target of 4.2% with an inflation rate of 7.5%. Federal tax revenue is set at an ambitious PKR 14,131 billion, based on a strong focus on compliance efforts and reforms in Federal Board of Revenue (FBR), digitalization initiatives, broadening the tax base and increase in withholding tax rates.</w:t>
      </w:r>
    </w:p>
    <w:p w:rsidR="000841D7" w:rsidRPr="00EE566E" w:rsidRDefault="000841D7" w:rsidP="000841D7">
      <w:pPr>
        <w:spacing w:after="0" w:line="240" w:lineRule="auto"/>
        <w:jc w:val="both"/>
        <w:rPr>
          <w:rFonts w:asciiTheme="majorBidi" w:eastAsia="Times New Roman" w:hAnsiTheme="majorBidi" w:cstheme="majorBidi"/>
          <w:color w:val="000000"/>
        </w:rPr>
      </w:pPr>
      <w:r w:rsidRPr="00EE566E">
        <w:rPr>
          <w:rFonts w:asciiTheme="majorBidi" w:eastAsia="Times New Roman" w:hAnsiTheme="majorBidi" w:cstheme="majorBidi"/>
          <w:color w:val="000000"/>
        </w:rPr>
        <w:t xml:space="preserve"> </w:t>
      </w:r>
    </w:p>
    <w:p w:rsidR="000841D7" w:rsidRDefault="000841D7" w:rsidP="000841D7">
      <w:pPr>
        <w:spacing w:after="0" w:line="240" w:lineRule="auto"/>
        <w:jc w:val="both"/>
        <w:rPr>
          <w:rFonts w:asciiTheme="majorBidi" w:hAnsiTheme="majorBidi" w:cstheme="majorBidi"/>
        </w:rPr>
      </w:pPr>
      <w:r w:rsidRPr="00EE566E">
        <w:rPr>
          <w:rFonts w:asciiTheme="majorBidi" w:hAnsiTheme="majorBidi" w:cstheme="majorBidi"/>
        </w:rPr>
        <w:t>The Tax Payers Alliance Pakistan (TPAP), representing a broad spectrum of law-abiding taxpayers, professionals, and business individuals, strongly urges the Government and Federal Board of Revenue (FBR) to reconsider and withdraw the newly inserted Sections 37A and 37B of the Sales Tax Act, 1990 as well as section 21(s) of the Income Tax Ordinance, 2001. These provisions, while ostensibly aimed at curbing tax fraud, represent a disproportionate, coercive, and constitutionally questionable approach to tax enforcement.</w:t>
      </w:r>
    </w:p>
    <w:p w:rsidR="000841D7" w:rsidRPr="00EE566E" w:rsidRDefault="000841D7" w:rsidP="000841D7">
      <w:pPr>
        <w:spacing w:after="0" w:line="240" w:lineRule="auto"/>
        <w:jc w:val="both"/>
        <w:rPr>
          <w:rFonts w:asciiTheme="majorBidi" w:hAnsiTheme="majorBidi" w:cstheme="majorBidi"/>
        </w:rPr>
      </w:pPr>
    </w:p>
    <w:p w:rsidR="000841D7" w:rsidRDefault="000841D7" w:rsidP="000841D7">
      <w:pPr>
        <w:spacing w:after="0" w:line="240" w:lineRule="auto"/>
        <w:jc w:val="both"/>
        <w:rPr>
          <w:rFonts w:asciiTheme="majorBidi" w:hAnsiTheme="majorBidi" w:cstheme="majorBidi"/>
        </w:rPr>
      </w:pPr>
      <w:r w:rsidRPr="00EE566E">
        <w:rPr>
          <w:rFonts w:asciiTheme="majorBidi" w:hAnsiTheme="majorBidi" w:cstheme="majorBidi"/>
        </w:rPr>
        <w:t>Section 37A of the Sales Tax Act, 1990 grants sweeping and quasi-police powers to Inland Revenue Officers, including the power to inquire, investigate, arrest, and prosecute taxpayers without sufficient judicial oversight. The provision effectively introduces criminal-style proceedings within the civil tax administration framework, thereby disrupting the balance of due process. It empowers tax officials to act as judge, investigator, and enforcer—resulting in an intimidating environment that erodes taxpayer confidence and discourages voluntary compliance. Section 37B of the Sales Tax Act, 1990, which prescribes procedures following arrest, further aggravates the risk of abuse by allowing detention, custodial investigations, and physical remand without the safeguards typically afforded in criminal jurisprudence. This runs contrary to the principles of natural justice, fair trial, and economic liberty enshrined under the Constitution of Pakistan.</w:t>
      </w:r>
    </w:p>
    <w:p w:rsidR="000841D7" w:rsidRPr="00EE566E" w:rsidRDefault="000841D7" w:rsidP="000841D7">
      <w:pPr>
        <w:spacing w:after="0" w:line="240" w:lineRule="auto"/>
        <w:jc w:val="both"/>
        <w:rPr>
          <w:rFonts w:asciiTheme="majorBidi" w:hAnsiTheme="majorBidi" w:cstheme="majorBidi"/>
        </w:rPr>
      </w:pPr>
    </w:p>
    <w:p w:rsidR="000841D7" w:rsidRDefault="000841D7" w:rsidP="000841D7">
      <w:pPr>
        <w:spacing w:after="0" w:line="240" w:lineRule="auto"/>
        <w:jc w:val="both"/>
        <w:rPr>
          <w:rFonts w:asciiTheme="majorBidi" w:hAnsiTheme="majorBidi" w:cstheme="majorBidi"/>
        </w:rPr>
      </w:pPr>
      <w:r w:rsidRPr="00EE566E">
        <w:rPr>
          <w:rFonts w:asciiTheme="majorBidi" w:hAnsiTheme="majorBidi" w:cstheme="majorBidi"/>
        </w:rPr>
        <w:t xml:space="preserve">Furthermore, Section 21(s) of the Income Tax Ordinance, 2001, which disallows 50% of expenditure claimed against any sale for which payment exceeding </w:t>
      </w:r>
      <w:proofErr w:type="spellStart"/>
      <w:r w:rsidRPr="00EE566E">
        <w:rPr>
          <w:rFonts w:asciiTheme="majorBidi" w:hAnsiTheme="majorBidi" w:cstheme="majorBidi"/>
        </w:rPr>
        <w:t>Rs</w:t>
      </w:r>
      <w:proofErr w:type="spellEnd"/>
      <w:r w:rsidRPr="00EE566E">
        <w:rPr>
          <w:rFonts w:asciiTheme="majorBidi" w:hAnsiTheme="majorBidi" w:cstheme="majorBidi"/>
        </w:rPr>
        <w:t>. 200,000 is not made through banking channels or digital means, is unduly harsh and disconnected from commercial realities. In a country where the informal sector remains predominant and digital infrastructure is still evolving, this provision unjustly penalizes genuine transactions and burdens small- and medium-sized businesses. Instead of promoting documentation, it effectively punishes taxpayers for structural deficiencies in the economy.</w:t>
      </w:r>
    </w:p>
    <w:p w:rsidR="00777764" w:rsidRPr="00EE566E" w:rsidRDefault="00777764" w:rsidP="000841D7">
      <w:pPr>
        <w:spacing w:after="0" w:line="240" w:lineRule="auto"/>
        <w:jc w:val="both"/>
        <w:rPr>
          <w:rFonts w:asciiTheme="majorBidi" w:hAnsiTheme="majorBidi" w:cstheme="majorBidi"/>
        </w:rPr>
      </w:pPr>
    </w:p>
    <w:p w:rsidR="000841D7" w:rsidRPr="00EE566E" w:rsidRDefault="000841D7" w:rsidP="000841D7">
      <w:pPr>
        <w:spacing w:after="0" w:line="240" w:lineRule="auto"/>
        <w:jc w:val="both"/>
        <w:rPr>
          <w:rFonts w:asciiTheme="majorBidi" w:hAnsiTheme="majorBidi" w:cstheme="majorBidi"/>
        </w:rPr>
      </w:pPr>
      <w:r w:rsidRPr="00EE566E">
        <w:rPr>
          <w:rFonts w:asciiTheme="majorBidi" w:hAnsiTheme="majorBidi" w:cstheme="majorBidi"/>
        </w:rPr>
        <w:t>TPAP strongly believes that revenue enforcement must be grounded in transparency, proportionality, and procedural fairness. Sections 37A and 37B represent excessive criminalization of tax administration, and Section 21(s) imposes unrealistic compliance burdens. These provisions are likely to result in taxpayer harassment, litigation overload, and economic uncertainty, ultimately undermining the FBR’s stated objective of broadening the tax base.</w:t>
      </w:r>
    </w:p>
    <w:p w:rsidR="000841D7" w:rsidRDefault="000841D7" w:rsidP="000841D7">
      <w:pPr>
        <w:spacing w:after="0" w:line="240" w:lineRule="auto"/>
        <w:jc w:val="both"/>
        <w:rPr>
          <w:rFonts w:asciiTheme="majorBidi" w:hAnsiTheme="majorBidi" w:cstheme="majorBidi"/>
        </w:rPr>
      </w:pPr>
    </w:p>
    <w:p w:rsidR="000841D7" w:rsidRPr="00EE566E" w:rsidRDefault="000841D7" w:rsidP="000841D7">
      <w:pPr>
        <w:spacing w:after="0" w:line="240" w:lineRule="auto"/>
        <w:jc w:val="both"/>
        <w:rPr>
          <w:rFonts w:asciiTheme="majorBidi" w:hAnsiTheme="majorBidi" w:cstheme="majorBidi"/>
        </w:rPr>
      </w:pPr>
      <w:r w:rsidRPr="00EE566E">
        <w:rPr>
          <w:rFonts w:asciiTheme="majorBidi" w:hAnsiTheme="majorBidi" w:cstheme="majorBidi"/>
        </w:rPr>
        <w:t xml:space="preserve">In view of the </w:t>
      </w:r>
      <w:r>
        <w:rPr>
          <w:rFonts w:asciiTheme="majorBidi" w:hAnsiTheme="majorBidi" w:cstheme="majorBidi"/>
        </w:rPr>
        <w:t>foregoing</w:t>
      </w:r>
      <w:r w:rsidRPr="00EE566E">
        <w:rPr>
          <w:rFonts w:asciiTheme="majorBidi" w:hAnsiTheme="majorBidi" w:cstheme="majorBidi"/>
        </w:rPr>
        <w:t>, TPAP respectfully recommends that FBR</w:t>
      </w:r>
      <w:r w:rsidR="00777764">
        <w:rPr>
          <w:rFonts w:asciiTheme="majorBidi" w:hAnsiTheme="majorBidi" w:cstheme="majorBidi"/>
        </w:rPr>
        <w:t xml:space="preserve"> should</w:t>
      </w:r>
      <w:bookmarkStart w:id="0" w:name="_GoBack"/>
      <w:bookmarkEnd w:id="0"/>
      <w:r w:rsidRPr="00EE566E">
        <w:rPr>
          <w:rFonts w:asciiTheme="majorBidi" w:hAnsiTheme="majorBidi" w:cstheme="majorBidi"/>
        </w:rPr>
        <w:t xml:space="preserve"> initiate the legislative p</w:t>
      </w:r>
      <w:r>
        <w:rPr>
          <w:rFonts w:asciiTheme="majorBidi" w:hAnsiTheme="majorBidi" w:cstheme="majorBidi"/>
        </w:rPr>
        <w:t>rocess to withdraw Sections 37A &amp;</w:t>
      </w:r>
      <w:r w:rsidRPr="00EE566E">
        <w:rPr>
          <w:rFonts w:asciiTheme="majorBidi" w:hAnsiTheme="majorBidi" w:cstheme="majorBidi"/>
        </w:rPr>
        <w:t xml:space="preserve"> 37B</w:t>
      </w:r>
      <w:r>
        <w:rPr>
          <w:rFonts w:asciiTheme="majorBidi" w:hAnsiTheme="majorBidi" w:cstheme="majorBidi"/>
        </w:rPr>
        <w:t xml:space="preserve"> of Sales Tax Act, 1990</w:t>
      </w:r>
      <w:r w:rsidRPr="00EE566E">
        <w:rPr>
          <w:rFonts w:asciiTheme="majorBidi" w:hAnsiTheme="majorBidi" w:cstheme="majorBidi"/>
        </w:rPr>
        <w:t xml:space="preserve"> and </w:t>
      </w:r>
      <w:r>
        <w:rPr>
          <w:rFonts w:asciiTheme="majorBidi" w:hAnsiTheme="majorBidi" w:cstheme="majorBidi"/>
        </w:rPr>
        <w:t xml:space="preserve">section </w:t>
      </w:r>
      <w:r w:rsidRPr="00EE566E">
        <w:rPr>
          <w:rFonts w:asciiTheme="majorBidi" w:hAnsiTheme="majorBidi" w:cstheme="majorBidi"/>
        </w:rPr>
        <w:t xml:space="preserve">21(s) </w:t>
      </w:r>
      <w:r>
        <w:rPr>
          <w:rFonts w:asciiTheme="majorBidi" w:hAnsiTheme="majorBidi" w:cstheme="majorBidi"/>
        </w:rPr>
        <w:t xml:space="preserve">of the Income Tax Ordinance, 2001, </w:t>
      </w:r>
      <w:r w:rsidRPr="00EE566E">
        <w:rPr>
          <w:rFonts w:asciiTheme="majorBidi" w:hAnsiTheme="majorBidi" w:cstheme="majorBidi"/>
        </w:rPr>
        <w:t xml:space="preserve">with immediate effect and engage in meaningful consultation with all the stakeholders like business community, chambers of commerce &amp; industry, trade bodies, lawyers/tax bar associations, professional accountants etc. to develop more balanced and practical enforcement mechanisms aligned with constitutional protections and economic realities. </w:t>
      </w:r>
      <w:r w:rsidRPr="00EE566E">
        <w:rPr>
          <w:rFonts w:asciiTheme="majorBidi" w:eastAsia="Times New Roman" w:hAnsiTheme="majorBidi" w:cstheme="majorBidi"/>
          <w:color w:val="000000"/>
        </w:rPr>
        <w:t xml:space="preserve">Pakistan’s economy needs support, not sabotage in the name of </w:t>
      </w:r>
      <w:proofErr w:type="spellStart"/>
      <w:r w:rsidRPr="00EE566E">
        <w:rPr>
          <w:rFonts w:asciiTheme="majorBidi" w:eastAsia="Times New Roman" w:hAnsiTheme="majorBidi" w:cstheme="majorBidi"/>
          <w:color w:val="000000"/>
        </w:rPr>
        <w:t>digitalisation</w:t>
      </w:r>
      <w:proofErr w:type="spellEnd"/>
      <w:r w:rsidRPr="00EE566E">
        <w:rPr>
          <w:rFonts w:asciiTheme="majorBidi" w:eastAsia="Times New Roman" w:hAnsiTheme="majorBidi" w:cstheme="majorBidi"/>
          <w:color w:val="000000"/>
        </w:rPr>
        <w:t>. There is need for reforms by those who understand how businesses really work.</w:t>
      </w:r>
    </w:p>
    <w:p w:rsidR="000841D7" w:rsidRPr="00EE566E" w:rsidRDefault="000841D7" w:rsidP="000841D7">
      <w:pPr>
        <w:spacing w:after="0" w:line="240" w:lineRule="auto"/>
        <w:jc w:val="both"/>
        <w:rPr>
          <w:rFonts w:asciiTheme="majorBidi" w:hAnsiTheme="majorBidi" w:cstheme="majorBidi"/>
        </w:rPr>
      </w:pPr>
    </w:p>
    <w:p w:rsidR="001E0E7C" w:rsidRDefault="000841D7" w:rsidP="000841D7">
      <w:r w:rsidRPr="00EE566E">
        <w:rPr>
          <w:rFonts w:asciiTheme="majorBidi" w:hAnsiTheme="majorBidi" w:cstheme="majorBidi"/>
          <w:i/>
          <w:iCs/>
        </w:rPr>
        <w:t>Tax Payers Alliance Pakistan (TPAP) is a</w:t>
      </w:r>
      <w:r w:rsidRPr="00EE566E">
        <w:rPr>
          <w:rFonts w:asciiTheme="majorBidi" w:hAnsiTheme="majorBidi" w:cstheme="majorBidi"/>
          <w:i/>
          <w:iCs/>
          <w:shd w:val="clear" w:color="auto" w:fill="FFFFFF"/>
        </w:rPr>
        <w:t xml:space="preserve"> potent pressure group, comprising citizens of Pakistan from all walks of life to advise, educate and influence the Government and Public Policy in Pakistan to lowering the taxes on businesses and individuals, simplify the taxation regime, and to urge the government to eliminate undue and wasteful expenditures. </w:t>
      </w:r>
      <w:r w:rsidRPr="00EE566E">
        <w:rPr>
          <w:rFonts w:asciiTheme="majorBidi" w:hAnsiTheme="majorBidi" w:cstheme="majorBidi"/>
          <w:i/>
          <w:iCs/>
        </w:rPr>
        <w:t>PRIME Institute (Policy Research Institute of Market Economy) serves as its Secretariat in Islamabad.</w:t>
      </w:r>
    </w:p>
    <w:sectPr w:rsidR="001E0E7C" w:rsidSect="000841D7">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1D7"/>
    <w:rsid w:val="000841D7"/>
    <w:rsid w:val="001E0E7C"/>
    <w:rsid w:val="007777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669A"/>
  <w15:chartTrackingRefBased/>
  <w15:docId w15:val="{7ED88DB3-712A-4A34-B94B-35E0223A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1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 Farhan</dc:creator>
  <cp:keywords/>
  <dc:description/>
  <cp:lastModifiedBy>Muhammad Anas Farhan</cp:lastModifiedBy>
  <cp:revision>2</cp:revision>
  <dcterms:created xsi:type="dcterms:W3CDTF">2025-07-20T18:02:00Z</dcterms:created>
  <dcterms:modified xsi:type="dcterms:W3CDTF">2025-07-21T13:19:00Z</dcterms:modified>
</cp:coreProperties>
</file>