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FE5"/>
  <w:body>
    <w:p>
      <w:pPr>
        <w:pStyle w:val="Heading1"/>
      </w:pPr>
      <w:r>
        <w:t>1. Resumen ejecutivo</w:t>
      </w:r>
    </w:p>
    <w:tbl>
      <w:tblPr>
        <w:tblStyle w:val="TableGrid"/>
        <w:tblLook w:firstColumn="1" w:firstRow="1" w:lastColumn="0" w:lastRow="0" w:noHBand="0" w:noVBand="1" w:val="04A0"/>
        <w:tblW w:w="8839" w:type="dxa"/>
        <w:tblLayout w:type="fixed"/>
      </w:tblPr>
      <w:tblGrid>
        <w:gridCol w:w="3182"/>
        <w:gridCol w:w="5657"/>
      </w:tblGrid>
      <w:tr>
        <w:trPr>
          <w:tblHeader/>
          <w:cantSplit/>
          <w:trHeight w:val="397" w:hRule="atLeast"/>
        </w:trPr>
        <w:tc>
          <w:tcPr>
            <w:tcW w:type="dxa" w:w="8838"/>
            <w:gridSpan w:val="2"/>
            <w:shd w:val="clear" w:color="auto" w:fill="334000"/>
            <w:vAlign w:val="center"/>
          </w:tcPr>
          <w:p>
            <w:pPr>
              <w:keepNext/>
              <w:jc w:val="center"/>
            </w:pPr>
            <w:r>
              <w:rPr>
                <w:b/>
                <w:color w:val="CBFF00"/>
              </w:rPr>
              <w:t>PROPUESTA TÉCNICA · ASISTENTE VIRTUAL DE ATENCIÓN AL CLIENTE PARA TIENDANORTE</w:t>
            </w:r>
          </w:p>
        </w:tc>
      </w:tr>
      <w:tr>
        <w:trPr>
          <w:cantSplit/>
          <w:trHeight w:val="397" w:hRule="atLeast"/>
        </w:trPr>
        <w:tc>
          <w:tcPr>
            <w:tcW w:type="dxa" w:w="3182"/>
            <w:shd w:val="clear" w:color="auto" w:fill="EAF2C2"/>
            <w:vAlign w:val="center"/>
          </w:tcPr>
          <w:p>
            <w:pPr>
              <w:keepNext/>
            </w:pPr>
            <w:r>
              <w:rPr>
                <w:b/>
              </w:rPr>
              <w:t>Cliente</w:t>
            </w:r>
          </w:p>
        </w:tc>
        <w:tc>
          <w:tcPr>
            <w:tcW w:type="dxa" w:w="5657"/>
            <w:shd w:val="clear" w:color="auto" w:fill="FFFFFF"/>
            <w:vAlign w:val="center"/>
          </w:tcPr>
          <w:p>
            <w:pPr>
              <w:keepNext/>
            </w:pPr>
            <w:r>
              <w:t>TiendaNorte · Gerencia de Experiencia del Cliente</w:t>
            </w:r>
          </w:p>
        </w:tc>
      </w:tr>
      <w:tr>
        <w:trPr>
          <w:cantSplit/>
          <w:trHeight w:val="397" w:hRule="atLeast"/>
        </w:trPr>
        <w:tc>
          <w:tcPr>
            <w:tcW w:type="dxa" w:w="3182"/>
            <w:shd w:val="clear" w:color="auto" w:fill="EAF2C2"/>
            <w:vAlign w:val="center"/>
          </w:tcPr>
          <w:p>
            <w:pPr>
              <w:keepNext/>
            </w:pPr>
            <w:r>
              <w:rPr>
                <w:b/>
              </w:rPr>
              <w:t>Preparado por</w:t>
            </w:r>
          </w:p>
        </w:tc>
        <w:tc>
          <w:tcPr>
            <w:tcW w:type="dxa" w:w="5657"/>
            <w:shd w:val="clear" w:color="auto" w:fill="FFFFFF"/>
            <w:vAlign w:val="center"/>
          </w:tcPr>
          <w:p>
            <w:pPr>
              <w:keepNext/>
            </w:pPr>
            <w:r>
              <w:t>Célula IA — AI Solutions Engineering</w:t>
            </w:r>
          </w:p>
        </w:tc>
      </w:tr>
      <w:tr>
        <w:trPr>
          <w:cantSplit/>
          <w:trHeight w:val="397" w:hRule="atLeast"/>
        </w:trPr>
        <w:tc>
          <w:tcPr>
            <w:tcW w:type="dxa" w:w="3182"/>
            <w:shd w:val="clear" w:color="auto" w:fill="EAF2C2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657"/>
            <w:shd w:val="clear" w:color="auto" w:fill="FFFFFF"/>
            <w:vAlign w:val="center"/>
          </w:tcPr>
          <w:p>
            <w:r>
              <w:t>0.2 · borrador · 2026-10-30</w:t>
            </w:r>
          </w:p>
        </w:tc>
      </w:tr>
    </w:tbl>
    <w:p>
      <w:r>
        <w:t>En cada Black Friday y Hot Sale, las consultas por WhatsApp y chat web de TiendaNorte se multiplican entre 5 y 8 veces. Son mayormente repetitivas (dónde está mi pedido, si hay stock, cómo hago un cambio), pero saturan al equipo de atención: las respuestas tardan horas y se pierden ventas porque nadie confirmó a tiempo si el producto estaba disponible.</w:t>
      </w:r>
    </w:p>
    <w:p>
      <w:r>
        <w:t xml:space="preserve">Proponemos un </w:t>
      </w:r>
      <w:r>
        <w:rPr>
          <w:b/>
        </w:rPr>
        <w:t>asistente virtual con IA</w:t>
      </w:r>
      <w:r>
        <w:t xml:space="preserve"> en </w:t>
      </w:r>
      <w:r>
        <w:rPr>
          <w:b/>
        </w:rPr>
        <w:t>WhatsApp y en el chat del sitio</w:t>
      </w:r>
      <w:r>
        <w:t xml:space="preserve"> que resuelve solo las tres consultas más frecuentes con datos reales del e-commerce y del ERP, y que </w:t>
      </w:r>
      <w:r>
        <w:rPr>
          <w:b/>
        </w:rPr>
        <w:t>pasa a una persona, con todo el contexto</w:t>
      </w:r>
      <w:r>
        <w:t xml:space="preserve">, lo que no puede o no debe resolver. Se construye sobre servicios </w:t>
      </w:r>
      <w:r>
        <w:rPr>
          <w:b/>
        </w:rPr>
        <w:t>gestionados y serverless de AWS</w:t>
      </w:r>
      <w:r>
        <w:t xml:space="preserve"> (Amazon Bedrock con modelos Claude, Bedrock AgentCore y AWS End User Messaging para WhatsApp): escala solo en las campañas y no requiere equipo de infraestructura.</w:t>
      </w:r>
    </w:p>
    <w:p>
      <w:r>
        <w:t xml:space="preserve">El plan llega a </w:t>
      </w:r>
      <w:r>
        <w:rPr>
          <w:b/>
        </w:rPr>
        <w:t>producción antes de la próxima campaña</w:t>
      </w:r>
      <w:r>
        <w:t xml:space="preserve"> (unos dos meses) y el gasto acompaña al uso: </w:t>
      </w:r>
      <w:r>
        <w:rPr>
          <w:b/>
        </w:rPr>
        <w:t>alrededor de USD 47 cada 1.000 conversaciones</w:t>
      </w:r>
      <w:r>
        <w:t xml:space="preserve"> más un piso de </w:t>
      </w:r>
      <w:r>
        <w:rPr>
          <w:b/>
        </w:rPr>
        <w:t>unos USD 20 por mes</w:t>
      </w:r>
      <w:r>
        <w:t xml:space="preserve">. La meta es que </w:t>
      </w:r>
      <w:r>
        <w:rPr>
          <w:b/>
        </w:rPr>
        <w:t>al menos el 60% de las consultas se resuelva sin intervención humana</w:t>
      </w:r>
      <w:r>
        <w:t>, para que el equipo se concentre en los casos que de verdad lo necesitan.</w:t>
      </w:r>
    </w:p>
    <w:p>
      <w:pPr>
        <w:pStyle w:val="Heading1"/>
      </w:pPr>
      <w:r>
        <w:t>2. Entendimiento del problema</w:t>
      </w:r>
    </w:p>
    <w:p>
      <w:pPr>
        <w:pStyle w:val="IntenseQuote"/>
      </w:pPr>
      <w:r>
        <w:rPr>
          <w:b/>
          <w:color w:val="334000"/>
        </w:rPr>
        <w:t xml:space="preserve">Para negocio: </w:t>
      </w:r>
      <w:r>
        <w:t>el cuello de botella no es la complejidad de las consultas, sino su volumen en pocos días del año.</w:t>
      </w:r>
    </w:p>
    <w:p>
      <w:r>
        <w:t>TiendaNorte vende electrodomésticos y electrónica online y en 15 sucursales. Cuenta con un e-commerce con API, un CRM, un ERP que expone stock y pedidos por API (con limitaciones documentadas a relevar) y la WhatsApp Business API contratada. Como no tiene equipo de infraestructura, la solución tiene que operarse sola, costar en proporción al uso y no atar a la empresa a un único proveedor.</w:t>
      </w:r>
    </w:p>
    <w:p>
      <w:r>
        <w:t xml:space="preserve">El asistente resuelve de punta a punta las tres consultas que explican la mayor parte del volumen: el </w:t>
      </w:r>
      <w:r>
        <w:rPr>
          <w:b/>
        </w:rPr>
        <w:t>estado de un pedido online</w:t>
      </w:r>
      <w:r>
        <w:t xml:space="preserve">, previa identificación con el número de pedido y un segundo dato (DNI, email o teléfono); la </w:t>
      </w:r>
      <w:r>
        <w:rPr>
          <w:b/>
        </w:rPr>
        <w:t>disponibilidad de un producto</w:t>
      </w:r>
      <w:r>
        <w:t xml:space="preserve"> online y en cada sucursal, con el link de compra para no perder la venta; y los </w:t>
      </w:r>
      <w:r>
        <w:rPr>
          <w:b/>
        </w:rPr>
        <w:t>cambios y devoluciones</w:t>
      </w:r>
      <w:r>
        <w:t>, que en esta etapa se responden con la política vigente. Un reclamo, un tema fuera de alcance, un cliente molesto o el pedido de hablar con alguien se derivan a una persona. Donde la información de preventa es incompleta trabajamos con supuestos explícitos; los cinco de mayor impacto están en la sección 6.</w:t>
      </w:r>
    </w:p>
    <w:p>
      <w:pPr>
        <w:pStyle w:val="Heading1"/>
      </w:pPr>
      <w:r>
        <w:t>3. Solución propuesta</w:t>
      </w:r>
    </w:p>
    <w:p>
      <w:pPr>
        <w:pStyle w:val="IntenseQuote"/>
      </w:pPr>
      <w:r>
        <w:rPr>
          <w:b/>
          <w:color w:val="334000"/>
        </w:rPr>
        <w:t xml:space="preserve">Para negocio: </w:t>
      </w:r>
      <w:r>
        <w:t>el cliente escribe como siempre y lo atiende un asistente que conoce sus pedidos, el stock y las políticas de TiendaNorte.</w:t>
      </w:r>
    </w:p>
    <w:p>
      <w:pPr>
        <w:pStyle w:val="Heading2"/>
      </w:pPr>
      <w:r>
        <w:t>Cómo funciona una conversación</w:t>
      </w:r>
    </w:p>
    <w:p>
      <w:r>
        <w:t xml:space="preserve">Cada mensaje pasa por </w:t>
      </w:r>
      <w:r>
        <w:rPr>
          <w:b/>
        </w:rPr>
        <w:t>controles de entrada</w:t>
      </w:r>
      <w:r>
        <w:t xml:space="preserve"> que detectan manipulaciones, contenido ofensivo y datos sensibles como tarjetas. El asistente entiende qué necesita el cliente y elige el camino: lo identifica antes de mostrar un pedido, consulta el stock en el ERP o busca la política en la base de conocimiento. Antes de responder, un </w:t>
      </w:r>
      <w:r>
        <w:rPr>
          <w:b/>
        </w:rPr>
        <w:t>control de salida</w:t>
      </w:r>
      <w:r>
        <w:t xml:space="preserve"> verifica que todo esté respaldado por los sistemas o por las políticas oficiales. La sesión se cierra a los 15 minutos sin actividad o a los 10 turnos, y la derivación a una persona puede ocurrir en cualquier momento.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2400" cy="3148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lujo-resum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314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>. Flujo de atención del asistente virtual.</w:t>
      </w:r>
    </w:p>
    <w:p>
      <w:pPr>
        <w:pStyle w:val="Heading2"/>
      </w:pPr>
      <w:r>
        <w:t>Arquitectura</w:t>
      </w:r>
    </w:p>
    <w:p>
      <w:r>
        <w:t xml:space="preserve">Los mensajes de WhatsApp llegan por </w:t>
      </w:r>
      <w:r>
        <w:rPr>
          <w:b/>
        </w:rPr>
        <w:t>AWS End User Messaging Social</w:t>
      </w:r>
      <w:r>
        <w:t xml:space="preserve"> y los del chat web por </w:t>
      </w:r>
      <w:r>
        <w:rPr>
          <w:b/>
        </w:rPr>
        <w:t>API Gateway con WAF</w:t>
      </w:r>
      <w:r>
        <w:t xml:space="preserve">. Una </w:t>
      </w:r>
      <w:r>
        <w:rPr>
          <w:b/>
        </w:rPr>
        <w:t>cola SQS FIFO</w:t>
      </w:r>
      <w:r>
        <w:t xml:space="preserve"> absorbe los picos y entrega cada conversación en orden a un </w:t>
      </w:r>
      <w:r>
        <w:rPr>
          <w:b/>
        </w:rPr>
        <w:t>orquestador de sesión</w:t>
      </w:r>
      <w:r>
        <w:t xml:space="preserve"> que controla turnos, tiempos, guardrails y derivación. El agente se define por configuración en </w:t>
      </w:r>
      <w:r>
        <w:rPr>
          <w:b/>
        </w:rPr>
        <w:t>AgentCore Harness</w:t>
      </w:r>
      <w:r>
        <w:t xml:space="preserve">, sin código de orquestación propio, y razona con </w:t>
      </w:r>
      <w:r>
        <w:rPr>
          <w:b/>
        </w:rPr>
        <w:t>Claude Haiku 5.5</w:t>
      </w:r>
      <w:r>
        <w:t xml:space="preserve">, que escala a </w:t>
      </w:r>
      <w:r>
        <w:rPr>
          <w:b/>
        </w:rPr>
        <w:t>Claude Sonnet 5.5</w:t>
      </w:r>
      <w:r>
        <w:t xml:space="preserve"> solo en los casos complejos. Las consultas a los sistemas pasan por </w:t>
      </w:r>
      <w:r>
        <w:rPr>
          <w:b/>
        </w:rPr>
        <w:t>AgentCore Gateway</w:t>
      </w:r>
      <w:r>
        <w:t xml:space="preserve"> con herramientas de solo lectura, y las políticas viven en una </w:t>
      </w:r>
      <w:r>
        <w:rPr>
          <w:b/>
        </w:rPr>
        <w:t>Knowledge Base gestionada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2400" cy="2879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holder-desplieg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400" cy="287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>. Arquitectura de despliegue en AWS.</w:t>
      </w:r>
    </w:p>
    <w:tbl>
      <w:tblPr>
        <w:tblStyle w:val="TableGrid"/>
        <w:tblLook w:firstColumn="1" w:firstRow="1" w:lastColumn="0" w:lastRow="0" w:noHBand="0" w:noVBand="1" w:val="04A0"/>
        <w:tblW w:w="8838" w:type="dxa"/>
        <w:tblLayout w:type="fixed"/>
      </w:tblPr>
      <w:tblGrid>
        <w:gridCol w:w="2211"/>
        <w:gridCol w:w="3651"/>
        <w:gridCol w:w="2976"/>
      </w:tblGrid>
      <w:tr>
        <w:trPr>
          <w:tblHeader/>
          <w:cantSplit/>
          <w:trHeight w:val="397" w:hRule="atLeast"/>
        </w:trPr>
        <w:tc>
          <w:tcPr>
            <w:tcW w:type="dxa" w:w="2211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Capa</w:t>
            </w:r>
          </w:p>
        </w:tc>
        <w:tc>
          <w:tcPr>
            <w:tcW w:type="dxa" w:w="3651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Qué resuelve</w:t>
            </w:r>
          </w:p>
        </w:tc>
        <w:tc>
          <w:tcPr>
            <w:tcW w:type="dxa" w:w="2976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Servicios</w:t>
            </w:r>
          </w:p>
        </w:tc>
      </w:tr>
      <w:tr>
        <w:trPr>
          <w:cantSplit/>
          <w:trHeight w:val="397" w:hRule="atLeast"/>
        </w:trPr>
        <w:tc>
          <w:tcPr>
            <w:tcW w:type="dxa" w:w="221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Canales</w:t>
            </w:r>
          </w:p>
        </w:tc>
        <w:tc>
          <w:tcPr>
            <w:tcW w:type="dxa" w:w="3651"/>
            <w:shd w:val="clear" w:color="auto" w:fill="FFFFFF"/>
            <w:vAlign w:val="center"/>
          </w:tcPr>
          <w:p>
            <w:pPr>
              <w:keepNext/>
            </w:pPr>
            <w:r>
              <w:t>Mensajes de WhatsApp y del chat web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pPr>
              <w:keepNext/>
            </w:pPr>
            <w:r>
              <w:t>End User Messaging Social · API Gateway + WAF</w:t>
            </w:r>
          </w:p>
        </w:tc>
      </w:tr>
      <w:tr>
        <w:trPr>
          <w:cantSplit/>
          <w:trHeight w:val="397" w:hRule="atLeast"/>
        </w:trPr>
        <w:tc>
          <w:tcPr>
            <w:tcW w:type="dxa" w:w="2211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Entrada y sesión</w:t>
            </w:r>
          </w:p>
        </w:tc>
        <w:tc>
          <w:tcPr>
            <w:tcW w:type="dxa" w:w="3651"/>
            <w:shd w:val="clear" w:color="auto" w:fill="F3F7DE"/>
            <w:vAlign w:val="center"/>
          </w:tcPr>
          <w:p>
            <w:pPr>
              <w:keepNext/>
            </w:pPr>
            <w:r>
              <w:t>Picos, orden por conversación y control de sesión</w:t>
            </w:r>
          </w:p>
        </w:tc>
        <w:tc>
          <w:tcPr>
            <w:tcW w:type="dxa" w:w="2976"/>
            <w:shd w:val="clear" w:color="auto" w:fill="F3F7DE"/>
            <w:vAlign w:val="center"/>
          </w:tcPr>
          <w:p>
            <w:pPr>
              <w:keepNext/>
            </w:pPr>
            <w:r>
              <w:t>Lambda · SQS FIFO · DynamoDB</w:t>
            </w:r>
          </w:p>
        </w:tc>
      </w:tr>
      <w:tr>
        <w:trPr>
          <w:cantSplit/>
          <w:trHeight w:val="397" w:hRule="atLeast"/>
        </w:trPr>
        <w:tc>
          <w:tcPr>
            <w:tcW w:type="dxa" w:w="221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Agente e IA</w:t>
            </w:r>
          </w:p>
        </w:tc>
        <w:tc>
          <w:tcPr>
            <w:tcW w:type="dxa" w:w="3651"/>
            <w:shd w:val="clear" w:color="auto" w:fill="FFFFFF"/>
            <w:vAlign w:val="center"/>
          </w:tcPr>
          <w:p>
            <w:pPr>
              <w:keepNext/>
            </w:pPr>
            <w:r>
              <w:t>Entender, buscar datos y redactar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pPr>
              <w:keepNext/>
            </w:pPr>
            <w:r>
              <w:t>AgentCore Harness · Claude Haiku / Sonnet 5.5</w:t>
            </w:r>
          </w:p>
        </w:tc>
      </w:tr>
      <w:tr>
        <w:trPr>
          <w:cantSplit/>
          <w:trHeight w:val="397" w:hRule="atLeast"/>
        </w:trPr>
        <w:tc>
          <w:tcPr>
            <w:tcW w:type="dxa" w:w="2211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Controles</w:t>
            </w:r>
          </w:p>
        </w:tc>
        <w:tc>
          <w:tcPr>
            <w:tcW w:type="dxa" w:w="3651"/>
            <w:shd w:val="clear" w:color="auto" w:fill="F3F7DE"/>
            <w:vAlign w:val="center"/>
          </w:tcPr>
          <w:p>
            <w:pPr>
              <w:keepNext/>
            </w:pPr>
            <w:r>
              <w:t>Manipulación, datos sensibles y respuestas sin respaldo</w:t>
            </w:r>
          </w:p>
        </w:tc>
        <w:tc>
          <w:tcPr>
            <w:tcW w:type="dxa" w:w="2976"/>
            <w:shd w:val="clear" w:color="auto" w:fill="F3F7DE"/>
            <w:vAlign w:val="center"/>
          </w:tcPr>
          <w:p>
            <w:pPr>
              <w:keepNext/>
            </w:pPr>
            <w:r>
              <w:t>Bedrock Guardrails + controles en código</w:t>
            </w:r>
          </w:p>
        </w:tc>
      </w:tr>
      <w:tr>
        <w:trPr>
          <w:cantSplit/>
          <w:trHeight w:val="397" w:hRule="atLeast"/>
        </w:trPr>
        <w:tc>
          <w:tcPr>
            <w:tcW w:type="dxa" w:w="2211"/>
            <w:shd w:val="clear" w:color="auto" w:fill="FFFFFF"/>
            <w:vAlign w:val="center"/>
          </w:tcPr>
          <w:p>
            <w:r>
              <w:rPr>
                <w:b/>
              </w:rPr>
              <w:t>Integraciones</w:t>
            </w:r>
          </w:p>
        </w:tc>
        <w:tc>
          <w:tcPr>
            <w:tcW w:type="dxa" w:w="3651"/>
            <w:shd w:val="clear" w:color="auto" w:fill="FFFFFF"/>
            <w:vAlign w:val="center"/>
          </w:tcPr>
          <w:p>
            <w:r>
              <w:t>Pedidos, stock y políticas en solo lectura</w:t>
            </w:r>
          </w:p>
        </w:tc>
        <w:tc>
          <w:tcPr>
            <w:tcW w:type="dxa" w:w="2976"/>
            <w:shd w:val="clear" w:color="auto" w:fill="FFFFFF"/>
            <w:vAlign w:val="center"/>
          </w:tcPr>
          <w:p>
            <w:r>
              <w:t>AgentCore Gateway (MCP) · Knowledge Base</w:t>
            </w:r>
          </w:p>
        </w:tc>
      </w:tr>
    </w:tbl>
    <w:p>
      <w:r>
        <w:t xml:space="preserve">El diseño prioriza la </w:t>
      </w:r>
      <w:r>
        <w:rPr>
          <w:b/>
        </w:rPr>
        <w:t>seguridad</w:t>
      </w:r>
      <w:r>
        <w:t xml:space="preserve">: un pedido solo se muestra si el cliente se identificó en la sesión, lo valida el código y no el modelo, y los datos personales se guardan enmascarados por 90 días. También prioriza la </w:t>
      </w:r>
      <w:r>
        <w:rPr>
          <w:b/>
        </w:rPr>
        <w:t>portabilidad</w:t>
      </w:r>
      <w:r>
        <w:t xml:space="preserve">: el modelo se cambia por configuración, las integraciones usan el estándar abierto MCP y cada servicio propietario tiene documentada su ruta de salida. Y busca la </w:t>
      </w:r>
      <w:r>
        <w:rPr>
          <w:b/>
        </w:rPr>
        <w:t>operación mínima</w:t>
      </w:r>
      <w:r>
        <w:t>: no hay servidores que mantener y volver a una versión anterior es inmediato. A las APIs del cliente les pedimos responder en 2 segundos o menos, mantener el stock con no más de 15 minutos de atraso y estar disponibles el 99,5% del tiempo en campaña; la caché amortigua lo que falte.</w:t>
      </w:r>
    </w:p>
    <w:p>
      <w:pPr>
        <w:pStyle w:val="Heading2"/>
      </w:pPr>
      <w:r>
        <w:t>Costos y escalabilidad</w:t>
      </w:r>
    </w:p>
    <w:p>
      <w:pPr>
        <w:pStyle w:val="IntenseQuote"/>
      </w:pPr>
      <w:r>
        <w:rPr>
          <w:b/>
          <w:color w:val="334000"/>
        </w:rPr>
        <w:t xml:space="preserve">Para negocio: </w:t>
      </w:r>
      <w:r>
        <w:t>se paga por uso y el costo por conversación baja a medida que crece el volumen.</w:t>
      </w:r>
    </w:p>
    <w:p>
      <w:pPr>
        <w:keepNext/>
      </w:pPr>
      <w:r>
        <w:t xml:space="preserve">El costo variable ronda los </w:t>
      </w:r>
      <w:r>
        <w:rPr>
          <w:b/>
        </w:rPr>
        <w:t>USD 47 cada 1.000 conversaciones</w:t>
      </w:r>
      <w:r>
        <w:t xml:space="preserve">: la mitad es mensajería de WhatsApp (USD 24,50), y el resto se reparte entre modelos de IA (USD 9), ejecución del agente (USD 6,70) y guardrails (USD 5,70). El fijo es de </w:t>
      </w:r>
      <w:r>
        <w:rPr>
          <w:b/>
        </w:rPr>
        <w:t>unos USD 20 por mes</w:t>
      </w:r>
      <w:r>
        <w:t xml:space="preserve">. Con una contención del 60%, cada consulta resuelta sin una persona cuesta </w:t>
      </w:r>
      <w:r>
        <w:rPr>
          <w:b/>
        </w:rPr>
        <w:t>unos 8 centavos de dólar</w:t>
      </w:r>
      <w:r>
        <w:t>.</w:t>
      </w:r>
    </w:p>
    <w:tbl>
      <w:tblPr>
        <w:tblStyle w:val="TableGrid"/>
        <w:tblLook w:firstColumn="1" w:firstRow="1" w:lastColumn="0" w:lastRow="0" w:noHBand="0" w:noVBand="1" w:val="04A0"/>
        <w:tblW w:w="8839" w:type="dxa"/>
        <w:tblLayout w:type="fixed"/>
      </w:tblPr>
      <w:tblGrid>
        <w:gridCol w:w="2041"/>
        <w:gridCol w:w="2682"/>
        <w:gridCol w:w="1633"/>
        <w:gridCol w:w="2483"/>
      </w:tblGrid>
      <w:tr>
        <w:trPr>
          <w:tblHeader/>
          <w:cantSplit/>
          <w:trHeight w:val="397" w:hRule="atLeast"/>
        </w:trPr>
        <w:tc>
          <w:tcPr>
            <w:tcW w:type="dxa" w:w="2041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Escenario</w:t>
            </w:r>
          </w:p>
        </w:tc>
        <w:tc>
          <w:tcPr>
            <w:tcW w:type="dxa" w:w="2682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Conversaciones por mes</w:t>
            </w:r>
          </w:p>
        </w:tc>
        <w:tc>
          <w:tcPr>
            <w:tcW w:type="dxa" w:w="1633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Costo total por mes</w:t>
            </w:r>
          </w:p>
        </w:tc>
        <w:tc>
          <w:tcPr>
            <w:tcW w:type="dxa" w:w="2483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Costo por conversación</w:t>
            </w:r>
          </w:p>
        </w:tc>
      </w:tr>
      <w:tr>
        <w:trPr>
          <w:cantSplit/>
          <w:trHeight w:val="397" w:hRule="atLeast"/>
        </w:trPr>
        <w:tc>
          <w:tcPr>
            <w:tcW w:type="dxa" w:w="204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Unidad de cálculo</w:t>
            </w:r>
          </w:p>
        </w:tc>
        <w:tc>
          <w:tcPr>
            <w:tcW w:type="dxa" w:w="2682"/>
            <w:shd w:val="clear" w:color="auto" w:fill="FFFFFF"/>
            <w:vAlign w:val="center"/>
          </w:tcPr>
          <w:p>
            <w:pPr>
              <w:keepNext/>
            </w:pPr>
            <w:r>
              <w:t>1.000</w:t>
            </w:r>
          </w:p>
        </w:tc>
        <w:tc>
          <w:tcPr>
            <w:tcW w:type="dxa" w:w="1633"/>
            <w:shd w:val="clear" w:color="auto" w:fill="FFFFFF"/>
            <w:vAlign w:val="center"/>
          </w:tcPr>
          <w:p>
            <w:pPr>
              <w:keepNext/>
            </w:pPr>
            <w:r>
              <w:t>USD 67</w:t>
            </w:r>
          </w:p>
        </w:tc>
        <w:tc>
          <w:tcPr>
            <w:tcW w:type="dxa" w:w="2483"/>
            <w:shd w:val="clear" w:color="auto" w:fill="FFFFFF"/>
            <w:vAlign w:val="center"/>
          </w:tcPr>
          <w:p>
            <w:pPr>
              <w:keepNext/>
            </w:pPr>
            <w:r>
              <w:t>USD 0,067</w:t>
            </w:r>
          </w:p>
        </w:tc>
      </w:tr>
      <w:tr>
        <w:trPr>
          <w:cantSplit/>
          <w:trHeight w:val="397" w:hRule="atLeast"/>
        </w:trPr>
        <w:tc>
          <w:tcPr>
            <w:tcW w:type="dxa" w:w="2041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Mes de campaña (x8)</w:t>
            </w:r>
          </w:p>
        </w:tc>
        <w:tc>
          <w:tcPr>
            <w:tcW w:type="dxa" w:w="2682"/>
            <w:shd w:val="clear" w:color="auto" w:fill="F3F7DE"/>
            <w:vAlign w:val="center"/>
          </w:tcPr>
          <w:p>
            <w:pPr>
              <w:keepNext/>
            </w:pPr>
            <w:r>
              <w:t>8.000</w:t>
            </w:r>
          </w:p>
        </w:tc>
        <w:tc>
          <w:tcPr>
            <w:tcW w:type="dxa" w:w="1633"/>
            <w:shd w:val="clear" w:color="auto" w:fill="F3F7DE"/>
            <w:vAlign w:val="center"/>
          </w:tcPr>
          <w:p>
            <w:pPr>
              <w:keepNext/>
            </w:pPr>
            <w:r>
              <w:t>USD 398</w:t>
            </w:r>
          </w:p>
        </w:tc>
        <w:tc>
          <w:tcPr>
            <w:tcW w:type="dxa" w:w="2483"/>
            <w:shd w:val="clear" w:color="auto" w:fill="F3F7DE"/>
            <w:vAlign w:val="center"/>
          </w:tcPr>
          <w:p>
            <w:pPr>
              <w:keepNext/>
            </w:pPr>
            <w:r>
              <w:t>USD 0,050</w:t>
            </w:r>
          </w:p>
        </w:tc>
      </w:tr>
      <w:tr>
        <w:trPr>
          <w:cantSplit/>
          <w:trHeight w:val="397" w:hRule="atLeast"/>
        </w:trPr>
        <w:tc>
          <w:tcPr>
            <w:tcW w:type="dxa" w:w="204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Operación media</w:t>
            </w:r>
          </w:p>
        </w:tc>
        <w:tc>
          <w:tcPr>
            <w:tcW w:type="dxa" w:w="2682"/>
            <w:shd w:val="clear" w:color="auto" w:fill="FFFFFF"/>
            <w:vAlign w:val="center"/>
          </w:tcPr>
          <w:p>
            <w:pPr>
              <w:keepNext/>
            </w:pPr>
            <w:r>
              <w:t>45.000</w:t>
            </w:r>
          </w:p>
        </w:tc>
        <w:tc>
          <w:tcPr>
            <w:tcW w:type="dxa" w:w="1633"/>
            <w:shd w:val="clear" w:color="auto" w:fill="FFFFFF"/>
            <w:vAlign w:val="center"/>
          </w:tcPr>
          <w:p>
            <w:pPr>
              <w:keepNext/>
            </w:pPr>
            <w:r>
              <w:t>USD 2.148</w:t>
            </w:r>
          </w:p>
        </w:tc>
        <w:tc>
          <w:tcPr>
            <w:tcW w:type="dxa" w:w="2483"/>
            <w:shd w:val="clear" w:color="auto" w:fill="FFFFFF"/>
            <w:vAlign w:val="center"/>
          </w:tcPr>
          <w:p>
            <w:pPr>
              <w:keepNext/>
            </w:pPr>
            <w:r>
              <w:t>USD 0,048</w:t>
            </w:r>
          </w:p>
        </w:tc>
      </w:tr>
      <w:tr>
        <w:trPr>
          <w:cantSplit/>
          <w:trHeight w:val="397" w:hRule="atLeast"/>
        </w:trPr>
        <w:tc>
          <w:tcPr>
            <w:tcW w:type="dxa" w:w="2041"/>
            <w:shd w:val="clear" w:color="auto" w:fill="F3F7DE"/>
            <w:vAlign w:val="center"/>
          </w:tcPr>
          <w:p>
            <w:r>
              <w:rPr>
                <w:b/>
              </w:rPr>
              <w:t>Alto volumen</w:t>
            </w:r>
          </w:p>
        </w:tc>
        <w:tc>
          <w:tcPr>
            <w:tcW w:type="dxa" w:w="2682"/>
            <w:shd w:val="clear" w:color="auto" w:fill="F3F7DE"/>
            <w:vAlign w:val="center"/>
          </w:tcPr>
          <w:p>
            <w:r>
              <w:t>150.000</w:t>
            </w:r>
          </w:p>
        </w:tc>
        <w:tc>
          <w:tcPr>
            <w:tcW w:type="dxa" w:w="1633"/>
            <w:shd w:val="clear" w:color="auto" w:fill="F3F7DE"/>
            <w:vAlign w:val="center"/>
          </w:tcPr>
          <w:p>
            <w:r>
              <w:t>USD 7.115</w:t>
            </w:r>
          </w:p>
        </w:tc>
        <w:tc>
          <w:tcPr>
            <w:tcW w:type="dxa" w:w="2483"/>
            <w:shd w:val="clear" w:color="auto" w:fill="F3F7DE"/>
            <w:vAlign w:val="center"/>
          </w:tcPr>
          <w:p>
            <w:r>
              <w:t>USD 0,047</w:t>
            </w:r>
          </w:p>
        </w:tc>
      </w:tr>
    </w:tbl>
    <w:p>
      <w:r>
        <w:t>La estimación de referencia está en AWS Pricing Calculator (https://calculator.aws/#/estimate?id=93d4b868060b93c5c70f89ff7fd2f50cb11943aa). Como la calculadora no tiene WhatsApp, Guardrails ni la Knowledge Base, esos montos se suman con los valores de esta sección. Antes del pico se dimensionan las cuotas de Bedrock y se valida todo con una prueba de carga x8.</w:t>
      </w:r>
    </w:p>
    <w:p>
      <w:pPr>
        <w:pStyle w:val="Heading1"/>
      </w:pPr>
      <w:r>
        <w:t>4. Alcance</w:t>
      </w:r>
    </w:p>
    <w:p>
      <w:pPr>
        <w:pStyle w:val="IntenseQuote"/>
      </w:pPr>
      <w:r>
        <w:rPr>
          <w:b/>
          <w:color w:val="334000"/>
        </w:rPr>
        <w:t xml:space="preserve">Para negocio: </w:t>
      </w:r>
      <w:r>
        <w:t>el MVP resuelve el problema concreto de la campaña; lo demás queda en un roadmap que se prioriza con datos reales de uso.</w:t>
      </w:r>
    </w:p>
    <w:p>
      <w:pPr>
        <w:pStyle w:val="Heading2"/>
      </w:pPr>
      <w:r>
        <w:t>Qué hacemos ahora (MVP)</w:t>
      </w:r>
    </w:p>
    <w:tbl>
      <w:tblPr>
        <w:tblStyle w:val="TableGrid"/>
        <w:tblLook w:firstColumn="1" w:firstRow="1" w:lastColumn="0" w:lastRow="0" w:noHBand="0" w:noVBand="1" w:val="04A0"/>
        <w:tblW w:w="8838" w:type="dxa"/>
        <w:tblLayout w:type="fixed"/>
      </w:tblPr>
      <w:tblGrid>
        <w:gridCol w:w="2347"/>
        <w:gridCol w:w="3770"/>
        <w:gridCol w:w="2721"/>
      </w:tblGrid>
      <w:tr>
        <w:trPr>
          <w:tblHeader/>
          <w:cantSplit/>
          <w:trHeight w:val="397" w:hRule="atLeast"/>
        </w:trPr>
        <w:tc>
          <w:tcPr>
            <w:tcW w:type="dxa" w:w="2347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Capacidad</w:t>
            </w:r>
          </w:p>
        </w:tc>
        <w:tc>
          <w:tcPr>
            <w:tcW w:type="dxa" w:w="3770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Qué incluye</w:t>
            </w:r>
          </w:p>
        </w:tc>
        <w:tc>
          <w:tcPr>
            <w:tcW w:type="dxa" w:w="2721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Límite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Canales</w:t>
            </w:r>
          </w:p>
        </w:tc>
        <w:tc>
          <w:tcPr>
            <w:tcW w:type="dxa" w:w="3770"/>
            <w:shd w:val="clear" w:color="auto" w:fill="FFFFFF"/>
            <w:vAlign w:val="center"/>
          </w:tcPr>
          <w:p>
            <w:pPr>
              <w:keepNext/>
            </w:pPr>
            <w:r>
              <w:t>Un mismo asistente en WhatsApp y en el chat del sitio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keepNext/>
            </w:pPr>
            <w:r>
              <w:t>Solo texto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Estado de pedido</w:t>
            </w:r>
          </w:p>
        </w:tc>
        <w:tc>
          <w:tcPr>
            <w:tcW w:type="dxa" w:w="3770"/>
            <w:shd w:val="clear" w:color="auto" w:fill="F3F7DE"/>
            <w:vAlign w:val="center"/>
          </w:tcPr>
          <w:p>
            <w:pPr>
              <w:keepNext/>
            </w:pPr>
            <w:r>
              <w:t>Estado, fechas y tracking, previa identificación del cliente</w:t>
            </w:r>
          </w:p>
        </w:tc>
        <w:tc>
          <w:tcPr>
            <w:tcW w:type="dxa" w:w="2721"/>
            <w:shd w:val="clear" w:color="auto" w:fill="F3F7DE"/>
            <w:vAlign w:val="center"/>
          </w:tcPr>
          <w:p>
            <w:pPr>
              <w:keepNext/>
            </w:pPr>
            <w:r>
              <w:t>Solo pedidos online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Stock</w:t>
            </w:r>
          </w:p>
        </w:tc>
        <w:tc>
          <w:tcPr>
            <w:tcW w:type="dxa" w:w="3770"/>
            <w:shd w:val="clear" w:color="auto" w:fill="FFFFFF"/>
            <w:vAlign w:val="center"/>
          </w:tcPr>
          <w:p>
            <w:pPr>
              <w:keepNext/>
            </w:pPr>
            <w:r>
              <w:t>Disponibilidad online y en las 15 sucursales, con link de compra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keepNext/>
            </w:pPr>
            <w:r>
              <w:t>Sin reserva de stock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Cambios, devoluciones y FAQs</w:t>
            </w:r>
          </w:p>
        </w:tc>
        <w:tc>
          <w:tcPr>
            <w:tcW w:type="dxa" w:w="3770"/>
            <w:shd w:val="clear" w:color="auto" w:fill="F3F7DE"/>
            <w:vAlign w:val="center"/>
          </w:tcPr>
          <w:p>
            <w:pPr>
              <w:keepNext/>
            </w:pPr>
            <w:r>
              <w:t>Política vigente y preguntas frecuentes cargadas por TiendaNorte</w:t>
            </w:r>
          </w:p>
        </w:tc>
        <w:tc>
          <w:tcPr>
            <w:tcW w:type="dxa" w:w="2721"/>
            <w:shd w:val="clear" w:color="auto" w:fill="F3F7DE"/>
            <w:vAlign w:val="center"/>
          </w:tcPr>
          <w:p>
            <w:pPr>
              <w:keepNext/>
            </w:pPr>
            <w:r>
              <w:t>Solo informativo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Derivación a una persona</w:t>
            </w:r>
          </w:p>
        </w:tc>
        <w:tc>
          <w:tcPr>
            <w:tcW w:type="dxa" w:w="3770"/>
            <w:shd w:val="clear" w:color="auto" w:fill="FFFFFF"/>
            <w:vAlign w:val="center"/>
          </w:tcPr>
          <w:p>
            <w:pPr>
              <w:keepNext/>
            </w:pPr>
            <w:r>
              <w:t>Transferencia con historial, resumen y motivo</w:t>
            </w:r>
          </w:p>
        </w:tc>
        <w:tc>
          <w:tcPr>
            <w:tcW w:type="dxa" w:w="2721"/>
            <w:shd w:val="clear" w:color="auto" w:fill="FFFFFF"/>
            <w:vAlign w:val="center"/>
          </w:tcPr>
          <w:p>
            <w:pPr>
              <w:keepNext/>
            </w:pPr>
            <w:r>
              <w:t>Usa la plataforma de atención de TiendaNorte</w:t>
            </w:r>
          </w:p>
        </w:tc>
      </w:tr>
      <w:tr>
        <w:trPr>
          <w:cantSplit/>
          <w:trHeight w:val="397" w:hRule="atLeast"/>
        </w:trPr>
        <w:tc>
          <w:tcPr>
            <w:tcW w:type="dxa" w:w="2347"/>
            <w:shd w:val="clear" w:color="auto" w:fill="F3F7DE"/>
            <w:vAlign w:val="center"/>
          </w:tcPr>
          <w:p>
            <w:r>
              <w:rPr>
                <w:b/>
              </w:rPr>
              <w:t>Seguridad y operación</w:t>
            </w:r>
          </w:p>
        </w:tc>
        <w:tc>
          <w:tcPr>
            <w:tcW w:type="dxa" w:w="3770"/>
            <w:shd w:val="clear" w:color="auto" w:fill="F3F7DE"/>
            <w:vAlign w:val="center"/>
          </w:tcPr>
          <w:p>
            <w:r>
              <w:t>Guardrails, datos personales enmascarados y acompañamiento en campaña</w:t>
            </w:r>
          </w:p>
        </w:tc>
        <w:tc>
          <w:tcPr>
            <w:tcW w:type="dxa" w:w="2721"/>
            <w:shd w:val="clear" w:color="auto" w:fill="F3F7DE"/>
            <w:vAlign w:val="center"/>
          </w:tcPr>
          <w:p>
            <w:r>
              <w:t>Operación mensual posterior, aparte</w:t>
            </w:r>
          </w:p>
        </w:tc>
      </w:tr>
    </w:tbl>
    <w:p>
      <w:pPr>
        <w:pStyle w:val="Heading2"/>
      </w:pPr>
      <w:r>
        <w:t>Qué no hace el MVP</w:t>
      </w:r>
    </w:p>
    <w:p>
      <w:pPr>
        <w:numPr>
          <w:ilvl w:val="0"/>
          <w:numId w:val="92"/>
        </w:numPr>
        <w:pStyle w:val="ListNumber"/>
      </w:pPr>
      <w:r>
        <w:rPr>
          <w:b/>
        </w:rPr>
        <w:t>Iniciar cambios o devoluciones:</w:t>
      </w:r>
      <w:r>
        <w:t xml:space="preserve"> requiere escribir en los sistemas del cliente.</w:t>
      </w:r>
    </w:p>
    <w:p>
      <w:pPr>
        <w:pStyle w:val="ListNumber"/>
      </w:pPr>
      <w:r>
        <w:rPr>
          <w:b/>
        </w:rPr>
        <w:t>Compras de sucursal y tracking del operador logístico:</w:t>
      </w:r>
      <w:r>
        <w:t xml:space="preserve"> suman integraciones.</w:t>
      </w:r>
    </w:p>
    <w:p>
      <w:pPr>
        <w:pStyle w:val="ListNumber"/>
      </w:pPr>
      <w:r>
        <w:rPr>
          <w:b/>
        </w:rPr>
        <w:t>Avisos proactivos del pedido:</w:t>
      </w:r>
      <w:r>
        <w:t xml:space="preserve"> requieren plantillas de WhatsApp con costo de Meta.</w:t>
      </w:r>
    </w:p>
    <w:p>
      <w:pPr>
        <w:pStyle w:val="ListNumber"/>
      </w:pPr>
      <w:r>
        <w:rPr>
          <w:b/>
        </w:rPr>
        <w:t>Recomendación de productos:</w:t>
      </w:r>
      <w:r>
        <w:t xml:space="preserve"> amplía el alcance y el riesgo comercial.</w:t>
      </w:r>
    </w:p>
    <w:p>
      <w:pPr>
        <w:pStyle w:val="ListNumber"/>
      </w:pPr>
      <w:r>
        <w:rPr>
          <w:b/>
        </w:rPr>
        <w:t>Audio, imágenes y autogestión de FAQs:</w:t>
      </w:r>
      <w:r>
        <w:t xml:space="preserve"> no son necesarios para las consultas de campaña.</w:t>
      </w:r>
    </w:p>
    <w:p>
      <w:r>
        <w:t>Tampoco forman parte del proyecto la plataforma de atención, la redacción de las políticas, los cambios en el e-commerce, el ERP o el CRM, y los costos de AWS y Meta, que corren por cuenta de TiendaNorte.</w:t>
      </w:r>
    </w:p>
    <w:p>
      <w:pPr>
        <w:pStyle w:val="Heading2"/>
      </w:pPr>
      <w:r>
        <w:t>Roadmap futuro</w:t>
      </w:r>
    </w:p>
    <w:p>
      <w:r>
        <w:t xml:space="preserve">Después de la campaña, la </w:t>
      </w:r>
      <w:r>
        <w:rPr>
          <w:b/>
        </w:rPr>
        <w:t>Fase 2</w:t>
      </w:r>
      <w:r>
        <w:t xml:space="preserve"> amplía la autogestión: el asistente pasa a iniciar cambios y devoluciones, a responder por compras de sucursal y por el envío en vivo del operador logístico, a avisar de forma proactiva cuando un pedido sale y a usar el contexto del CRM para personalizar la atención. Cada una de estas evoluciones depende de algo que hoy no existe o no está relevado, como APIs de escritura, la API del operador logístico o plantillas aprobadas por Meta, y por eso conviene encararlas con la base ya en producción.</w:t>
      </w:r>
    </w:p>
    <w:p>
      <w:r>
        <w:t xml:space="preserve">La </w:t>
      </w:r>
      <w:r>
        <w:rPr>
          <w:b/>
        </w:rPr>
        <w:t>Fase 3</w:t>
      </w:r>
      <w:r>
        <w:t xml:space="preserve"> apunta al crecimiento comercial: recomendación de productos y asistencia a la venta, soporte para audio e imágenes en WhatsApp y una herramienta para que el área de CX publique sus propias FAQs. El orden de ambas fases no es fijo: lo define el informe post-campaña, en especial los motivos de derivación registrados durante la campaña. Si la mayoría de las conversaciones que pasan a una persona son por cambios y devoluciones, esa evolución va primero.</w:t>
      </w:r>
    </w:p>
    <w:p>
      <w:pPr>
        <w:pStyle w:val="Heading2"/>
      </w:pPr>
      <w:r>
        <w:t>Cómo se acepta el MVP</w:t>
      </w:r>
    </w:p>
    <w:p>
      <w:r>
        <w:t>El MVP se acepta cuando la gerencia CX aprueba el UAT, la contención supera el 60% en el set de evaluación y la prueba de carga x8 termina sin mensajes perdidos.</w:t>
      </w:r>
    </w:p>
    <w:p>
      <w:pPr>
        <w:pStyle w:val="Heading1"/>
      </w:pPr>
      <w:r>
        <w:t>5. Estimación de esfuerzo</w:t>
      </w:r>
    </w:p>
    <w:tbl>
      <w:tblPr>
        <w:tblStyle w:val="TableGrid"/>
        <w:tblLook w:firstColumn="1" w:firstRow="1" w:lastColumn="0" w:lastRow="0" w:noHBand="0" w:noVBand="1" w:val="04A0"/>
        <w:tblW w:w="8839" w:type="dxa"/>
        <w:tblLayout w:type="fixed"/>
      </w:tblPr>
      <w:tblGrid>
        <w:gridCol w:w="2676"/>
        <w:gridCol w:w="2529"/>
        <w:gridCol w:w="3634"/>
      </w:tblGrid>
      <w:tr>
        <w:trPr>
          <w:tblHeader/>
          <w:cantSplit/>
          <w:trHeight w:val="397" w:hRule="atLeast"/>
        </w:trPr>
        <w:tc>
          <w:tcPr>
            <w:tcW w:type="dxa" w:w="2676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Fase</w:t>
            </w:r>
          </w:p>
        </w:tc>
        <w:tc>
          <w:tcPr>
            <w:tcW w:type="dxa" w:w="2529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Objetivo</w:t>
            </w:r>
          </w:p>
        </w:tc>
        <w:tc>
          <w:tcPr>
            <w:tcW w:type="dxa" w:w="3634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Entregables principales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F0 · Descubrimiento y PoC</w:t>
            </w:r>
          </w:p>
        </w:tc>
        <w:tc>
          <w:tcPr>
            <w:tcW w:type="dxa" w:w="2529"/>
            <w:shd w:val="clear" w:color="auto" w:fill="FFFFFF"/>
            <w:vAlign w:val="center"/>
          </w:tcPr>
          <w:p>
            <w:pPr>
              <w:keepNext/>
            </w:pPr>
            <w:r>
              <w:t>Validar supuestos y riesgos técnicos</w:t>
            </w:r>
          </w:p>
        </w:tc>
        <w:tc>
          <w:tcPr>
            <w:tcW w:type="dxa" w:w="3634"/>
            <w:shd w:val="clear" w:color="auto" w:fill="FFFFFF"/>
            <w:vAlign w:val="center"/>
          </w:tcPr>
          <w:p>
            <w:pPr>
              <w:keepNext/>
            </w:pPr>
            <w:r>
              <w:t>Supuestos validados, PoC, plan de migración de WhatsApp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F1 · Fundaciones</w:t>
            </w:r>
          </w:p>
        </w:tc>
        <w:tc>
          <w:tcPr>
            <w:tcW w:type="dxa" w:w="2529"/>
            <w:shd w:val="clear" w:color="auto" w:fill="F3F7DE"/>
            <w:vAlign w:val="center"/>
          </w:tcPr>
          <w:p>
            <w:pPr>
              <w:keepNext/>
            </w:pPr>
            <w:r>
              <w:t>Cuentas, seguridad y entrega continua</w:t>
            </w:r>
          </w:p>
        </w:tc>
        <w:tc>
          <w:tcPr>
            <w:tcW w:type="dxa" w:w="3634"/>
            <w:shd w:val="clear" w:color="auto" w:fill="F3F7DE"/>
            <w:vAlign w:val="center"/>
          </w:tcPr>
          <w:p>
            <w:pPr>
              <w:keepNext/>
            </w:pPr>
            <w:r>
              <w:t>Ambientes, infraestructura como código, pipelines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F2 · Canales y sesión</w:t>
            </w:r>
          </w:p>
        </w:tc>
        <w:tc>
          <w:tcPr>
            <w:tcW w:type="dxa" w:w="2529"/>
            <w:shd w:val="clear" w:color="auto" w:fill="FFFFFF"/>
            <w:vAlign w:val="center"/>
          </w:tcPr>
          <w:p>
            <w:pPr>
              <w:keepNext/>
            </w:pPr>
            <w:r>
              <w:t>Recibir y responder en ambos canales</w:t>
            </w:r>
          </w:p>
        </w:tc>
        <w:tc>
          <w:tcPr>
            <w:tcW w:type="dxa" w:w="3634"/>
            <w:shd w:val="clear" w:color="auto" w:fill="FFFFFF"/>
            <w:vAlign w:val="center"/>
          </w:tcPr>
          <w:p>
            <w:pPr>
              <w:keepNext/>
            </w:pPr>
            <w:r>
              <w:t>WhatsApp y chat web integrados, cola, orquestador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F3 · Agente y conocimiento</w:t>
            </w:r>
          </w:p>
        </w:tc>
        <w:tc>
          <w:tcPr>
            <w:tcW w:type="dxa" w:w="2529"/>
            <w:shd w:val="clear" w:color="auto" w:fill="F3F7DE"/>
            <w:vAlign w:val="center"/>
          </w:tcPr>
          <w:p>
            <w:pPr>
              <w:keepNext/>
            </w:pPr>
            <w:r>
              <w:t>Resolver pedidos, stock y políticas</w:t>
            </w:r>
          </w:p>
        </w:tc>
        <w:tc>
          <w:tcPr>
            <w:tcW w:type="dxa" w:w="3634"/>
            <w:shd w:val="clear" w:color="auto" w:fill="F3F7DE"/>
            <w:vAlign w:val="center"/>
          </w:tcPr>
          <w:p>
            <w:pPr>
              <w:keepNext/>
            </w:pPr>
            <w:r>
              <w:t>Agente, 6 herramientas, Knowledge Base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F4 · Guardrails y evaluación</w:t>
            </w:r>
          </w:p>
        </w:tc>
        <w:tc>
          <w:tcPr>
            <w:tcW w:type="dxa" w:w="2529"/>
            <w:shd w:val="clear" w:color="auto" w:fill="FFFFFF"/>
            <w:vAlign w:val="center"/>
          </w:tcPr>
          <w:p>
            <w:pPr>
              <w:keepNext/>
            </w:pPr>
            <w:r>
              <w:t>Seguridad y calidad medibles</w:t>
            </w:r>
          </w:p>
        </w:tc>
        <w:tc>
          <w:tcPr>
            <w:tcW w:type="dxa" w:w="3634"/>
            <w:shd w:val="clear" w:color="auto" w:fill="FFFFFF"/>
            <w:vAlign w:val="center"/>
          </w:tcPr>
          <w:p>
            <w:pPr>
              <w:keepNext/>
            </w:pPr>
            <w:r>
              <w:t>Guardrails calibrados, set de evaluación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F5 · Derivación a humano</w:t>
            </w:r>
          </w:p>
        </w:tc>
        <w:tc>
          <w:tcPr>
            <w:tcW w:type="dxa" w:w="2529"/>
            <w:shd w:val="clear" w:color="auto" w:fill="F3F7DE"/>
            <w:vAlign w:val="center"/>
          </w:tcPr>
          <w:p>
            <w:pPr>
              <w:keepNext/>
            </w:pPr>
            <w:r>
              <w:t>Pasar a una persona con contexto</w:t>
            </w:r>
          </w:p>
        </w:tc>
        <w:tc>
          <w:tcPr>
            <w:tcW w:type="dxa" w:w="3634"/>
            <w:shd w:val="clear" w:color="auto" w:fill="F3F7DE"/>
            <w:vAlign w:val="center"/>
          </w:tcPr>
          <w:p>
            <w:pPr>
              <w:keepNext/>
            </w:pPr>
            <w:r>
              <w:t>Conector con la plataforma de atención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F6 · Pruebas y UAT</w:t>
            </w:r>
          </w:p>
        </w:tc>
        <w:tc>
          <w:tcPr>
            <w:tcW w:type="dxa" w:w="2529"/>
            <w:shd w:val="clear" w:color="auto" w:fill="FFFFFF"/>
            <w:vAlign w:val="center"/>
          </w:tcPr>
          <w:p>
            <w:pPr>
              <w:keepNext/>
            </w:pPr>
            <w:r>
              <w:t>Demostrar capacidad de campaña</w:t>
            </w:r>
          </w:p>
        </w:tc>
        <w:tc>
          <w:tcPr>
            <w:tcW w:type="dxa" w:w="3634"/>
            <w:shd w:val="clear" w:color="auto" w:fill="FFFFFF"/>
            <w:vAlign w:val="center"/>
          </w:tcPr>
          <w:p>
            <w:pPr>
              <w:keepNext/>
            </w:pPr>
            <w:r>
              <w:t>Prueba de carga x8, aprobación de negocio</w:t>
            </w:r>
          </w:p>
        </w:tc>
      </w:tr>
      <w:tr>
        <w:trPr>
          <w:cantSplit/>
          <w:trHeight w:val="397" w:hRule="atLeast"/>
        </w:trPr>
        <w:tc>
          <w:tcPr>
            <w:tcW w:type="dxa" w:w="2676"/>
            <w:shd w:val="clear" w:color="auto" w:fill="F3F7DE"/>
            <w:vAlign w:val="center"/>
          </w:tcPr>
          <w:p>
            <w:r>
              <w:rPr>
                <w:b/>
              </w:rPr>
              <w:t>F7 · Go-live y acompañamiento</w:t>
            </w:r>
          </w:p>
        </w:tc>
        <w:tc>
          <w:tcPr>
            <w:tcW w:type="dxa" w:w="2529"/>
            <w:shd w:val="clear" w:color="auto" w:fill="F3F7DE"/>
            <w:vAlign w:val="center"/>
          </w:tcPr>
          <w:p>
            <w:r>
              <w:t>Producción estable en campaña</w:t>
            </w:r>
          </w:p>
        </w:tc>
        <w:tc>
          <w:tcPr>
            <w:tcW w:type="dxa" w:w="3634"/>
            <w:shd w:val="clear" w:color="auto" w:fill="F3F7DE"/>
            <w:vAlign w:val="center"/>
          </w:tcPr>
          <w:p>
            <w:r>
              <w:t>Salida gradual, guardia, informe post-campaña</w:t>
            </w:r>
          </w:p>
        </w:tc>
      </w:tr>
    </w:tbl>
    <w:p>
      <w:r>
        <w:t>Las fases de canales, agente y guardrails avanzan en paralelo y la derivación arranca en cuanto se define la plataforma de atención. La migración de WhatsApp, las cuotas de Bedrock y los accesos a los entornos de prueba se inician la primera semana, porque dependen de terceros. El equipo de la Célula IA reúne perfiles de solutions engineering, arquitectura, IA, backend, DevOps, QA y gestión; del lado de TiendaNorte necesitamos referentes de CX, TI, la plataforma de atención y Meta Business.</w:t>
      </w:r>
    </w:p>
    <w:p>
      <w:pPr>
        <w:pStyle w:val="Heading1"/>
      </w:pPr>
      <w:r>
        <w:t>6. Riesgos y supuestos</w:t>
      </w:r>
    </w:p>
    <w:p>
      <w:pPr>
        <w:keepNext/>
      </w:pPr>
      <w:r>
        <w:t>Estos son los cinco riesgos de mayor impacto; el registro completo incluye quince, cada uno con su contingencia.</w:t>
      </w:r>
    </w:p>
    <w:tbl>
      <w:tblPr>
        <w:tblStyle w:val="TableGrid"/>
        <w:tblLook w:firstColumn="1" w:firstRow="1" w:lastColumn="0" w:lastRow="0" w:noHBand="0" w:noVBand="1" w:val="04A0"/>
        <w:tblW w:w="8837" w:type="dxa"/>
        <w:tblLayout w:type="fixed"/>
      </w:tblPr>
      <w:tblGrid>
        <w:gridCol w:w="3163"/>
        <w:gridCol w:w="952"/>
        <w:gridCol w:w="1213"/>
        <w:gridCol w:w="3509"/>
      </w:tblGrid>
      <w:tr>
        <w:trPr>
          <w:tblHeader/>
          <w:cantSplit/>
          <w:trHeight w:val="397" w:hRule="atLeast"/>
        </w:trPr>
        <w:tc>
          <w:tcPr>
            <w:tcW w:type="dxa" w:w="3163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Riesgo</w:t>
            </w:r>
          </w:p>
        </w:tc>
        <w:tc>
          <w:tcPr>
            <w:tcW w:type="dxa" w:w="952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Prob.</w:t>
            </w:r>
          </w:p>
        </w:tc>
        <w:tc>
          <w:tcPr>
            <w:tcW w:type="dxa" w:w="1213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Impacto</w:t>
            </w:r>
          </w:p>
        </w:tc>
        <w:tc>
          <w:tcPr>
            <w:tcW w:type="dxa" w:w="3509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Mitigación</w:t>
            </w:r>
          </w:p>
        </w:tc>
      </w:tr>
      <w:tr>
        <w:trPr>
          <w:cantSplit/>
          <w:trHeight w:val="397" w:hRule="atLeast"/>
        </w:trPr>
        <w:tc>
          <w:tcPr>
            <w:tcW w:type="dxa" w:w="3163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No llegar a producción antes de la campaña</w:t>
            </w:r>
          </w:p>
        </w:tc>
        <w:tc>
          <w:tcPr>
            <w:tcW w:type="dxa" w:w="952"/>
            <w:shd w:val="clear" w:color="auto" w:fill="FFFFFF"/>
            <w:vAlign w:val="center"/>
          </w:tcPr>
          <w:p>
            <w:pPr>
              <w:keepNext/>
            </w:pPr>
            <w:r>
              <w:t>Alta</w:t>
            </w:r>
          </w:p>
        </w:tc>
        <w:tc>
          <w:tcPr>
            <w:tcW w:type="dxa" w:w="1213"/>
            <w:shd w:val="clear" w:color="auto" w:fill="FFFFFF"/>
            <w:vAlign w:val="center"/>
          </w:tcPr>
          <w:p>
            <w:pPr>
              <w:keepNext/>
            </w:pPr>
            <w:r>
              <w:t>Alto</w:t>
            </w:r>
          </w:p>
        </w:tc>
        <w:tc>
          <w:tcPr>
            <w:tcW w:type="dxa" w:w="3509"/>
            <w:shd w:val="clear" w:color="auto" w:fill="FFFFFF"/>
            <w:vAlign w:val="center"/>
          </w:tcPr>
          <w:p>
            <w:pPr>
              <w:keepNext/>
            </w:pPr>
            <w:r>
              <w:t>MVP acotado, fases en paralelo y salida parcial como contingencia</w:t>
            </w:r>
          </w:p>
        </w:tc>
      </w:tr>
      <w:tr>
        <w:trPr>
          <w:cantSplit/>
          <w:trHeight w:val="397" w:hRule="atLeast"/>
        </w:trPr>
        <w:tc>
          <w:tcPr>
            <w:tcW w:type="dxa" w:w="3163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APIs del ERP por debajo de los mínimos</w:t>
            </w:r>
          </w:p>
        </w:tc>
        <w:tc>
          <w:tcPr>
            <w:tcW w:type="dxa" w:w="952"/>
            <w:shd w:val="clear" w:color="auto" w:fill="F3F7DE"/>
            <w:vAlign w:val="center"/>
          </w:tcPr>
          <w:p>
            <w:pPr>
              <w:keepNext/>
            </w:pPr>
            <w:r>
              <w:t>Alta</w:t>
            </w:r>
          </w:p>
        </w:tc>
        <w:tc>
          <w:tcPr>
            <w:tcW w:type="dxa" w:w="1213"/>
            <w:shd w:val="clear" w:color="auto" w:fill="F3F7DE"/>
            <w:vAlign w:val="center"/>
          </w:tcPr>
          <w:p>
            <w:pPr>
              <w:keepNext/>
            </w:pPr>
            <w:r>
              <w:t>Medio</w:t>
            </w:r>
          </w:p>
        </w:tc>
        <w:tc>
          <w:tcPr>
            <w:tcW w:type="dxa" w:w="3509"/>
            <w:shd w:val="clear" w:color="auto" w:fill="F3F7DE"/>
            <w:vAlign w:val="center"/>
          </w:tcPr>
          <w:p>
            <w:pPr>
              <w:keepNext/>
            </w:pPr>
            <w:r>
              <w:t>Relevamiento en F0, caché y corte automático ante fallas</w:t>
            </w:r>
          </w:p>
        </w:tc>
      </w:tr>
      <w:tr>
        <w:trPr>
          <w:cantSplit/>
          <w:trHeight w:val="397" w:hRule="atLeast"/>
        </w:trPr>
        <w:tc>
          <w:tcPr>
            <w:tcW w:type="dxa" w:w="3163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AgentCore Harness sin las capacidades o el SLA necesarios</w:t>
            </w:r>
          </w:p>
        </w:tc>
        <w:tc>
          <w:tcPr>
            <w:tcW w:type="dxa" w:w="952"/>
            <w:shd w:val="clear" w:color="auto" w:fill="FFFFFF"/>
            <w:vAlign w:val="center"/>
          </w:tcPr>
          <w:p>
            <w:pPr>
              <w:keepNext/>
            </w:pPr>
            <w:r>
              <w:t>Media</w:t>
            </w:r>
          </w:p>
        </w:tc>
        <w:tc>
          <w:tcPr>
            <w:tcW w:type="dxa" w:w="1213"/>
            <w:shd w:val="clear" w:color="auto" w:fill="FFFFFF"/>
            <w:vAlign w:val="center"/>
          </w:tcPr>
          <w:p>
            <w:pPr>
              <w:keepNext/>
            </w:pPr>
            <w:r>
              <w:t>Alto</w:t>
            </w:r>
          </w:p>
        </w:tc>
        <w:tc>
          <w:tcPr>
            <w:tcW w:type="dxa" w:w="3509"/>
            <w:shd w:val="clear" w:color="auto" w:fill="FFFFFF"/>
            <w:vAlign w:val="center"/>
          </w:tcPr>
          <w:p>
            <w:pPr>
              <w:keepNext/>
            </w:pPr>
            <w:r>
              <w:t>PoC en F0 y alternativa sobre AgentCore Runtime</w:t>
            </w:r>
          </w:p>
        </w:tc>
      </w:tr>
      <w:tr>
        <w:trPr>
          <w:cantSplit/>
          <w:trHeight w:val="397" w:hRule="atLeast"/>
        </w:trPr>
        <w:tc>
          <w:tcPr>
            <w:tcW w:type="dxa" w:w="3163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Demora en la migración de WhatsApp a AWS</w:t>
            </w:r>
          </w:p>
        </w:tc>
        <w:tc>
          <w:tcPr>
            <w:tcW w:type="dxa" w:w="952"/>
            <w:shd w:val="clear" w:color="auto" w:fill="F3F7DE"/>
            <w:vAlign w:val="center"/>
          </w:tcPr>
          <w:p>
            <w:pPr>
              <w:keepNext/>
            </w:pPr>
            <w:r>
              <w:t>Media</w:t>
            </w:r>
          </w:p>
        </w:tc>
        <w:tc>
          <w:tcPr>
            <w:tcW w:type="dxa" w:w="1213"/>
            <w:shd w:val="clear" w:color="auto" w:fill="F3F7DE"/>
            <w:vAlign w:val="center"/>
          </w:tcPr>
          <w:p>
            <w:pPr>
              <w:keepNext/>
            </w:pPr>
            <w:r>
              <w:t>Alto</w:t>
            </w:r>
          </w:p>
        </w:tc>
        <w:tc>
          <w:tcPr>
            <w:tcW w:type="dxa" w:w="3509"/>
            <w:shd w:val="clear" w:color="auto" w:fill="F3F7DE"/>
            <w:vAlign w:val="center"/>
          </w:tcPr>
          <w:p>
            <w:pPr>
              <w:keepNext/>
            </w:pPr>
            <w:r>
              <w:t>Gestión desde F1 y número alternativo como plan B</w:t>
            </w:r>
          </w:p>
        </w:tc>
      </w:tr>
      <w:tr>
        <w:trPr>
          <w:cantSplit/>
          <w:trHeight w:val="397" w:hRule="atLeast"/>
        </w:trPr>
        <w:tc>
          <w:tcPr>
            <w:tcW w:type="dxa" w:w="3163"/>
            <w:shd w:val="clear" w:color="auto" w:fill="FFFFFF"/>
            <w:vAlign w:val="center"/>
          </w:tcPr>
          <w:p>
            <w:r>
              <w:rPr>
                <w:b/>
              </w:rPr>
              <w:t>Plataforma de atención sin integración por API</w:t>
            </w:r>
          </w:p>
        </w:tc>
        <w:tc>
          <w:tcPr>
            <w:tcW w:type="dxa" w:w="952"/>
            <w:shd w:val="clear" w:color="auto" w:fill="FFFFFF"/>
            <w:vAlign w:val="center"/>
          </w:tcPr>
          <w:p>
            <w:r>
              <w:t>Media</w:t>
            </w:r>
          </w:p>
        </w:tc>
        <w:tc>
          <w:tcPr>
            <w:tcW w:type="dxa" w:w="1213"/>
            <w:shd w:val="clear" w:color="auto" w:fill="FFFFFF"/>
            <w:vAlign w:val="center"/>
          </w:tcPr>
          <w:p>
            <w:r>
              <w:t>Alto</w:t>
            </w:r>
          </w:p>
        </w:tc>
        <w:tc>
          <w:tcPr>
            <w:tcW w:type="dxa" w:w="3509"/>
            <w:shd w:val="clear" w:color="auto" w:fill="FFFFFF"/>
            <w:vAlign w:val="center"/>
          </w:tcPr>
          <w:p>
            <w:r>
              <w:t>Definición en F0, con Amazon Connect como alternativa</w:t>
            </w:r>
          </w:p>
        </w:tc>
      </w:tr>
    </w:tbl>
    <w:p>
      <w:pPr>
        <w:keepNext/>
      </w:pPr>
      <w:r>
        <w:t>La propuesta se apoya en estos cinco supuestos principales, que validamos en F0.</w:t>
      </w:r>
    </w:p>
    <w:tbl>
      <w:tblPr>
        <w:tblStyle w:val="TableGrid"/>
        <w:tblLook w:firstColumn="1" w:firstRow="1" w:lastColumn="0" w:lastRow="0" w:noHBand="0" w:noVBand="1" w:val="04A0"/>
        <w:tblW w:w="8838" w:type="dxa"/>
        <w:tblLayout w:type="fixed"/>
      </w:tblPr>
      <w:tblGrid>
        <w:gridCol w:w="6151"/>
        <w:gridCol w:w="2687"/>
      </w:tblGrid>
      <w:tr>
        <w:trPr>
          <w:tblHeader/>
          <w:cantSplit/>
          <w:trHeight w:val="397" w:hRule="atLeast"/>
        </w:trPr>
        <w:tc>
          <w:tcPr>
            <w:tcW w:type="dxa" w:w="6151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Supuesto principal</w:t>
            </w:r>
          </w:p>
        </w:tc>
        <w:tc>
          <w:tcPr>
            <w:tcW w:type="dxa" w:w="2687"/>
            <w:shd w:val="clear" w:color="auto" w:fill="334000"/>
            <w:vAlign w:val="center"/>
          </w:tcPr>
          <w:p>
            <w:pPr>
              <w:keepNext/>
            </w:pPr>
            <w:r>
              <w:rPr>
                <w:b/>
                <w:color w:val="CBFF00"/>
              </w:rPr>
              <w:t>Validar con</w:t>
            </w:r>
          </w:p>
        </w:tc>
      </w:tr>
      <w:tr>
        <w:trPr>
          <w:cantSplit/>
          <w:trHeight w:val="397" w:hRule="atLeast"/>
        </w:trPr>
        <w:tc>
          <w:tcPr>
            <w:tcW w:type="dxa" w:w="615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TiendaNorte provee la plataforma de atención, con API para las derivaciones</w:t>
            </w:r>
          </w:p>
        </w:tc>
        <w:tc>
          <w:tcPr>
            <w:tcW w:type="dxa" w:w="2687"/>
            <w:shd w:val="clear" w:color="auto" w:fill="FFFFFF"/>
            <w:vAlign w:val="center"/>
          </w:tcPr>
          <w:p>
            <w:pPr>
              <w:keepNext/>
            </w:pPr>
            <w:r>
              <w:t>Gerencia CX</w:t>
            </w:r>
          </w:p>
        </w:tc>
      </w:tr>
      <w:tr>
        <w:trPr>
          <w:cantSplit/>
          <w:trHeight w:val="397" w:hRule="atLeast"/>
        </w:trPr>
        <w:tc>
          <w:tcPr>
            <w:tcW w:type="dxa" w:w="6151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Las APIs del ERP y del e-commerce cumplen los mínimos de la sección 3</w:t>
            </w:r>
          </w:p>
        </w:tc>
        <w:tc>
          <w:tcPr>
            <w:tcW w:type="dxa" w:w="2687"/>
            <w:shd w:val="clear" w:color="auto" w:fill="F3F7DE"/>
            <w:vAlign w:val="center"/>
          </w:tcPr>
          <w:p>
            <w:pPr>
              <w:keepNext/>
            </w:pPr>
            <w:r>
              <w:t>TI / proveedor ERP</w:t>
            </w:r>
          </w:p>
        </w:tc>
      </w:tr>
      <w:tr>
        <w:trPr>
          <w:cantSplit/>
          <w:trHeight w:val="397" w:hRule="atLeast"/>
        </w:trPr>
        <w:tc>
          <w:tcPr>
            <w:tcW w:type="dxa" w:w="6151"/>
            <w:shd w:val="clear" w:color="auto" w:fill="FFFFFF"/>
            <w:vAlign w:val="center"/>
          </w:tcPr>
          <w:p>
            <w:pPr>
              <w:keepNext/>
            </w:pPr>
            <w:r>
              <w:rPr>
                <w:b/>
              </w:rPr>
              <w:t>Las políticas y FAQs validadas llegan antes de la mitad de F3</w:t>
            </w:r>
          </w:p>
        </w:tc>
        <w:tc>
          <w:tcPr>
            <w:tcW w:type="dxa" w:w="2687"/>
            <w:shd w:val="clear" w:color="auto" w:fill="FFFFFF"/>
            <w:vAlign w:val="center"/>
          </w:tcPr>
          <w:p>
            <w:pPr>
              <w:keepNext/>
            </w:pPr>
            <w:r>
              <w:t>Gerencia CX</w:t>
            </w:r>
          </w:p>
        </w:tc>
      </w:tr>
      <w:tr>
        <w:trPr>
          <w:cantSplit/>
          <w:trHeight w:val="397" w:hRule="atLeast"/>
        </w:trPr>
        <w:tc>
          <w:tcPr>
            <w:tcW w:type="dxa" w:w="6151"/>
            <w:shd w:val="clear" w:color="auto" w:fill="F3F7DE"/>
            <w:vAlign w:val="center"/>
          </w:tcPr>
          <w:p>
            <w:pPr>
              <w:keepNext/>
            </w:pPr>
            <w:r>
              <w:rPr>
                <w:b/>
              </w:rPr>
              <w:t>La cuenta y el número de WhatsApp se pueden migrar a AWS</w:t>
            </w:r>
          </w:p>
        </w:tc>
        <w:tc>
          <w:tcPr>
            <w:tcW w:type="dxa" w:w="2687"/>
            <w:shd w:val="clear" w:color="auto" w:fill="F3F7DE"/>
            <w:vAlign w:val="center"/>
          </w:tcPr>
          <w:p>
            <w:pPr>
              <w:keepNext/>
            </w:pPr>
            <w:r>
              <w:t>TI / proveedor actual</w:t>
            </w:r>
          </w:p>
        </w:tc>
      </w:tr>
      <w:tr>
        <w:trPr>
          <w:cantSplit/>
          <w:trHeight w:val="397" w:hRule="atLeast"/>
        </w:trPr>
        <w:tc>
          <w:tcPr>
            <w:tcW w:type="dxa" w:w="6151"/>
            <w:shd w:val="clear" w:color="auto" w:fill="FFFFFF"/>
            <w:vAlign w:val="center"/>
          </w:tcPr>
          <w:p>
            <w:r>
              <w:rPr>
                <w:b/>
              </w:rPr>
              <w:t>La solución se despliega en una cuenta AWS de TiendaNorte</w:t>
            </w:r>
          </w:p>
        </w:tc>
        <w:tc>
          <w:tcPr>
            <w:tcW w:type="dxa" w:w="2687"/>
            <w:shd w:val="clear" w:color="auto" w:fill="FFFFFF"/>
            <w:vAlign w:val="center"/>
          </w:tcPr>
          <w:p>
            <w:r>
              <w:t>Gerencia CX / Finanzas</w:t>
            </w:r>
          </w:p>
        </w:tc>
      </w:tr>
    </w:tbl>
    <w:p>
      <w:pPr>
        <w:pStyle w:val="Heading1"/>
      </w:pPr>
      <w:r>
        <w:t>7. Próximos pasos</w:t>
      </w:r>
    </w:p>
    <w:p>
      <w:r>
        <w:t>Proponemos una reunión de validación con Experiencia del Cliente y TI para confirmar estos supuestos, definir la plataforma de atención y relevar el ERP. Con esas respuestas cerramos la estimación de tiempos con delivery, actualizamos las tarifas y quedamos listos para el kickoff, iniciando desde la primera semana la migración de WhatsApp, las cuotas y los accesos.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417" w:left="1701" w:header="283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tillium Web">
    <w:altName w:val="Arial"/>
    <w:charset w:val="00"/>
    <w:family w:val="swiss"/>
    <w:pitch w:val="variable"/>
    <w:embedRegular r:id="rId1" w:fontKey="{98EEE291-28CC-4EBA-9FC4-81509CACE627}"/>
    <w:embedBold r:id="rId2" w:fontKey="{42061035-B407-4311-8D0C-F1DF6D1FC0BE}"/>
    <w:embedItalic r:id="rId3" w:fontKey="{45840A87-02C0-4D5E-BC30-FE28639D076B}"/>
    <w:embedBoldItalic r:id="rId4" w:fontKey="{B0C90ADF-483E-4460-9C6F-4B04197C1BBD}"/>
  </w:font>
  <w:font w:name="DM Mono">
    <w:altName w:val="Arial"/>
    <w:charset w:val="00"/>
    <w:family w:val="modern"/>
    <w:pitch w:val="fixed"/>
    <w:embedRegular r:id="rId5" w:fontKey="{E7A4DAE0-34BD-4C50-BDCF-F18E24D3B8D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9401512</wp:posOffset>
          </wp:positionV>
          <wp:extent cx="7772400" cy="656887"/>
          <wp:effectExtent l="0" t="0" r="0" b="0"/>
          <wp:wrapNone/>
          <wp:docPr id="1" name="Preteco foot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656887"/>
                  </a:xfrm>
                  <a:prstGeom prst="rect"/>
                </pic:spPr>
              </pic:pic>
            </a:graphicData>
          </a:graphic>
        </wp:anchor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8050530" cy="683260"/>
          <wp:effectExtent l="0" t="0" r="0" b="0"/>
          <wp:wrapNone/>
          <wp:docPr id="1" name="Preteco heade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50530" cy="68326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Titillium Web" w:hAnsi="Titillium Web" w:cs="Titillium Web"/>
        <w:color w:val="334000"/>
        <w:sz w:val="21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itillium Web" w:hAnsi="Titillium Web" w:cs="Titillium Web"/>
        <w:color w:val="334000"/>
        <w:sz w:val="21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Titillium Web" w:hAnsi="Titillium Web" w:cs="Titillium Web"/>
        <w:color w:val="334000"/>
        <w:sz w:val="21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Titillium Web" w:hAnsi="Titillium Web" w:cs="Titillium Web"/>
        <w:color w:val="334000"/>
        <w:sz w:val="21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Titillium Web" w:hAnsi="Titillium Web" w:cs="Titillium Web"/>
        <w:color w:val="334000"/>
        <w:sz w:val="21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Titillium Web" w:hAnsi="Titillium Web" w:cs="Titillium Web"/>
        <w:color w:val="334000"/>
        <w:sz w:val="21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Titillium Web" w:hAnsi="Titillium Web" w:cs="Titillium Web"/>
        <w:color w:val="334000"/>
        <w:sz w:val="21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Titillium Web" w:hAnsi="Titillium Web" w:cs="Titillium Web"/>
        <w:color w:val="334000"/>
        <w:sz w:val="21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Titillium Web" w:hAnsi="Titillium Web" w:cs="Titillium Web"/>
        <w:color w:val="334000"/>
        <w:sz w:val="21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rFonts w:ascii="Titillium Web" w:hAnsi="Titillium Web" w:cs="Titillium Web"/>
        <w:color w:val="263000"/>
        <w:sz w:val="21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itillium Web" w:hAnsi="Titillium Web" w:cs="Titillium Web"/>
        <w:color w:val="263000"/>
        <w:sz w:val="21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tillium Web" w:hAnsi="Titillium Web" w:cs="Titillium Web"/>
        <w:color w:val="263000"/>
        <w:sz w:val="21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itillium Web" w:hAnsi="Titillium Web" w:cs="Titillium Web"/>
        <w:color w:val="263000"/>
        <w:sz w:val="21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itillium Web" w:hAnsi="Titillium Web" w:cs="Titillium Web"/>
        <w:color w:val="263000"/>
        <w:sz w:val="21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itillium Web" w:hAnsi="Titillium Web" w:cs="Titillium Web"/>
        <w:color w:val="263000"/>
        <w:sz w:val="21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itillium Web" w:hAnsi="Titillium Web" w:cs="Titillium Web"/>
        <w:color w:val="263000"/>
        <w:sz w:val="21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itillium Web" w:hAnsi="Titillium Web" w:cs="Titillium Web"/>
        <w:color w:val="263000"/>
        <w:sz w:val="21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itillium Web" w:hAnsi="Titillium Web" w:cs="Titillium Web"/>
        <w:color w:val="263000"/>
        <w:sz w:val="21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tillium Web" w:hAnsi="Titillium Web" w:cs="Titillium Web" w:eastAsia="Titillium Web"/>
        <w:color w:val="263000"/>
        <w:sz w:val="21"/>
        <w:szCs w:val="21"/>
        <w:lang w:val="es-AR" w:eastAsia="es-AR" w:bidi="ar-SA"/>
      </w:rPr>
    </w:rPrDefault>
    <w:pPrDefault>
      <w:pPr>
        <w:spacing w:before="0" w:after="16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Titillium Web" w:hAnsi="Titillium Web" w:cs="Titillium Web" w:eastAsia="Titillium Web"/>
      <w:b w:val="0"/>
      <w:i w:val="0"/>
      <w:sz w:val="18"/>
      <w:color w:val="263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jc w:val="right"/>
    </w:pPr>
    <w:rPr>
      <w:rFonts w:ascii="Titillium Web" w:hAnsi="Titillium Web" w:cs="Titillium Web" w:eastAsia="Titillium Web"/>
      <w:b w:val="0"/>
      <w:i w:val="0"/>
      <w:sz w:val="18"/>
      <w:color w:val="263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12" w:space="4" w:color="CBFF00"/>
      </w:pBdr>
    </w:pPr>
    <w:rPr>
      <w:rFonts w:ascii="Titillium Web" w:hAnsi="Titillium Web" w:cs="Titillium Web" w:eastAsia="Titillium Web"/>
      <w:b/>
      <w:bCs/>
      <w:i w:val="0"/>
      <w:sz w:val="30"/>
      <w:szCs w:val="28"/>
      <w:color w:val="263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Titillium Web" w:hAnsi="Titillium Web" w:cs="Titillium Web" w:eastAsia="Titillium Web"/>
      <w:b/>
      <w:bCs/>
      <w:i w:val="0"/>
      <w:sz w:val="25"/>
      <w:szCs w:val="26"/>
      <w:color w:val="334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40" w:lineRule="auto"/>
      <w:outlineLvl w:val="2"/>
    </w:pPr>
    <w:rPr>
      <w:rFonts w:ascii="Titillium Web" w:hAnsi="Titillium Web" w:cs="Titillium Web" w:eastAsia="Titillium Web"/>
      <w:b/>
      <w:bCs/>
      <w:i w:val="0"/>
      <w:sz w:val="22"/>
      <w:color w:val="263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</w:pPr>
    <w:rPr>
      <w:rFonts w:ascii="Titillium Web" w:hAnsi="Titillium Web" w:cs="Titillium Web" w:eastAsia="Titillium Web"/>
      <w:b/>
      <w:i w:val="0"/>
      <w:sz w:val="44"/>
      <w:szCs w:val="52"/>
      <w:color w:val="263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</w:pPr>
    <w:rPr>
      <w:rFonts w:ascii="Titillium Web" w:hAnsi="Titillium Web" w:cs="Titillium Web" w:eastAsia="Titillium Web"/>
      <w:b/>
      <w:i w:val="0"/>
      <w:iCs/>
      <w:sz w:val="24"/>
      <w:szCs w:val="24"/>
      <w:color w:val="33400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0"/>
      </w:numPr>
      <w:spacing w:before="0" w:after="80" w:line="240" w:lineRule="auto"/>
      <w:ind w:left="360" w:hanging="360"/>
    </w:pPr>
    <w:rPr>
      <w:rFonts w:ascii="Titillium Web" w:hAnsi="Titillium Web" w:cs="Titillium Web" w:eastAsia="Titillium Web"/>
      <w:b w:val="0"/>
      <w:i w:val="0"/>
      <w:sz w:val="21"/>
      <w:color w:val="263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1"/>
        <w:numId w:val="90"/>
      </w:numPr>
      <w:spacing w:before="0" w:after="80" w:line="240" w:lineRule="auto"/>
      <w:ind w:left="720" w:hanging="360"/>
    </w:pPr>
    <w:rPr>
      <w:rFonts w:ascii="Titillium Web" w:hAnsi="Titillium Web" w:cs="Titillium Web" w:eastAsia="Titillium Web"/>
      <w:b w:val="0"/>
      <w:i w:val="0"/>
      <w:sz w:val="21"/>
      <w:color w:val="263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1"/>
      </w:numPr>
      <w:spacing w:before="0" w:after="80" w:line="240" w:lineRule="auto"/>
      <w:ind w:left="360" w:hanging="360"/>
    </w:pPr>
    <w:rPr>
      <w:rFonts w:ascii="Titillium Web" w:hAnsi="Titillium Web" w:cs="Titillium Web" w:eastAsia="Titillium Web"/>
      <w:b w:val="0"/>
      <w:i w:val="0"/>
      <w:sz w:val="21"/>
      <w:color w:val="263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1"/>
      </w:numPr>
      <w:spacing w:before="0" w:after="80" w:line="240" w:lineRule="auto"/>
      <w:ind w:left="720" w:hanging="360"/>
    </w:pPr>
    <w:rPr>
      <w:rFonts w:ascii="Titillium Web" w:hAnsi="Titillium Web" w:cs="Titillium Web" w:eastAsia="Titillium Web"/>
      <w:b w:val="0"/>
      <w:i w:val="0"/>
      <w:sz w:val="21"/>
      <w:color w:val="263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Titillium Web" w:hAnsi="Titillium Web" w:cs="Titillium Web" w:eastAsia="Titillium Web"/>
      <w:b w:val="0"/>
      <w:bCs/>
      <w:i w:val="0"/>
      <w:sz w:val="18"/>
      <w:szCs w:val="18"/>
      <w:color w:val="334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160" w:after="160" w:line="240" w:lineRule="auto"/>
      <w:ind w:left="180" w:right="0"/>
      <w:pBdr>
        <w:left w:val="single" w:sz="24" w:space="6" w:color="CBFF00"/>
        <w:top w:val="single" w:sz="4" w:space="4" w:color="F3F7DE"/>
        <w:bottom w:val="single" w:sz="4" w:space="4" w:color="F3F7DE"/>
      </w:pBdr>
      <w:shd w:val="clear" w:color="auto" w:fill="F3F7DE"/>
      <w:jc w:val="left"/>
    </w:pPr>
    <w:rPr>
      <w:rFonts w:ascii="Titillium Web" w:hAnsi="Titillium Web" w:cs="Titillium Web" w:eastAsia="Titillium Web"/>
      <w:b w:val="0"/>
      <w:bCs/>
      <w:i w:val="0"/>
      <w:iCs/>
      <w:sz w:val="20"/>
      <w:color w:val="263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360" w:after="120" w:line="240" w:lineRule="auto"/>
      <w:outlineLvl w:val="9"/>
      <w:pBdr>
        <w:bottom w:val="single" w:sz="12" w:space="4" w:color="CBFF00"/>
      </w:pBdr>
    </w:pPr>
    <w:rPr>
      <w:rFonts w:ascii="Titillium Web" w:hAnsi="Titillium Web" w:cs="Titillium Web" w:eastAsia="Titillium Web"/>
      <w:b/>
      <w:i w:val="0"/>
      <w:sz w:val="30"/>
      <w:color w:val="263000"/>
    </w:rPr>
  </w:style>
  <w:style w:type="table" w:styleId="TableGrid">
    <w:name w:val="Table Grid"/>
    <w:basedOn w:val="TableNormal"/>
    <w:uiPriority w:val="59"/>
    <w:rsid w:val="00FC693F"/>
    <w:pPr>
      <w:spacing w:before="0"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9C98A"/>
        <w:left w:val="single" w:sz="4" w:space="0" w:color="B9C98A"/>
        <w:bottom w:val="single" w:sz="4" w:space="0" w:color="B9C98A"/>
        <w:right w:val="single" w:sz="4" w:space="0" w:color="B9C98A"/>
        <w:insideH w:val="single" w:sz="4" w:space="0" w:color="B9C98A"/>
        <w:insideV w:val="single" w:sz="4" w:space="0" w:color="B9C98A"/>
      </w:tblBorders>
      <w:tblCellMar>
        <w:top w:w="0" w:type="dxa"/>
        <w:left w:w="102" w:type="dxa"/>
        <w:bottom w:w="0" w:type="dxa"/>
        <w:right w:w="102" w:type="dxa"/>
      </w:tblCellMar>
    </w:tblPr>
    <w:tcPr>
      <w:vAlign w:val="center"/>
    </w:tcPr>
    <w:tblStylePr w:type="firstRow">
      <w:rPr>
        <w:b/>
        <w:bCs/>
        <w:color w:val="CBFF00"/>
        <w:sz w:val="21"/>
        <w:szCs w:val="21"/>
      </w:rPr>
      <w:tblPr/>
      <w:trPr>
        <w:tblHeader/>
      </w:trPr>
      <w:tcPr>
        <w:shd w:val="clear" w:color="auto" w:fill="334000"/>
      </w:tcPr>
    </w:tblStylePr>
    <w:tblStylePr w:type="firstCol">
      <w:rPr>
        <w:b/>
        <w:bCs/>
      </w:rPr>
    </w:tblStylePr>
    <w:tblStylePr w:type="band1Horz">
      <w:tcPr>
        <w:shd w:val="clear" w:color="auto" w:fill="FFFFFF"/>
      </w:tcPr>
    </w:tblStylePr>
    <w:tblStylePr w:type="band2Horz">
      <w:tcPr>
        <w:shd w:val="clear" w:color="auto" w:fill="F3F7DE"/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pPr>
      <w:spacing w:before="0" w:after="0" w:line="240" w:lineRule="auto"/>
      <w:shd w:val="clear" w:color="auto" w:fill="F3F7DE"/>
      <w:ind w:left="102" w:right="102"/>
    </w:pPr>
    <w:rPr>
      <w:rFonts w:ascii="DM Mono" w:hAnsi="DM Mono" w:cs="DM Mono" w:eastAsia="DM Mono"/>
      <w:b w:val="0"/>
      <w:i w:val="0"/>
      <w:sz w:val="18"/>
      <w:color w:val="263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reteco">
      <a:dk1>
        <a:srgbClr val="263000"/>
      </a:dk1>
      <a:lt1>
        <a:srgbClr val="FFFFFF"/>
      </a:lt1>
      <a:dk2>
        <a:srgbClr val="334000"/>
      </a:dk2>
      <a:lt2>
        <a:srgbClr val="FAFFE5"/>
      </a:lt2>
      <a:accent1>
        <a:srgbClr val="334000"/>
      </a:accent1>
      <a:accent2>
        <a:srgbClr val="7A9900"/>
      </a:accent2>
      <a:accent3>
        <a:srgbClr val="526600"/>
      </a:accent3>
      <a:accent4>
        <a:srgbClr val="B9C98A"/>
      </a:accent4>
      <a:accent5>
        <a:srgbClr val="A3CC00"/>
      </a:accent5>
      <a:accent6>
        <a:srgbClr val="CBFF00"/>
      </a:accent6>
      <a:hlink>
        <a:srgbClr val="334000"/>
      </a:hlink>
      <a:folHlink>
        <a:srgbClr val="526600"/>
      </a:folHlink>
    </a:clrScheme>
    <a:fontScheme name="Preteco">
      <a:majorFont>
        <a:latin typeface="Titillium Web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tillium Web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Preteco — template de documentos</dc:title>
  <dc:subject/>
  <dc:creator>Preteco</dc:creator>
  <cp:keywords/>
  <dc:description>generated by python-docx</dc:description>
  <cp:lastModifiedBy>Preteco</cp:lastModifiedBy>
  <cp:revision>1</cp:revision>
  <dcterms:created xsi:type="dcterms:W3CDTF">2013-12-23T23:15:00Z</dcterms:created>
  <dcterms:modified xsi:type="dcterms:W3CDTF">2013-12-23T23:15:00Z</dcterms:modified>
  <cp:category/>
</cp:coreProperties>
</file>