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920B21A" Type="http://schemas.openxmlformats.org/officeDocument/2006/relationships/officeDocument" Target="/word/document.xml" /><Relationship Id="coreR7920B21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27/2008/QH12</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TIÊU THỤ ĐẶC BIỆT</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br w:type="textWrapping"/>
        <w:t>Quốc hội ban hành Luật thuế tiêu thụ đặc biệt.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đối tượng chịu thuế, đối tượng không chịu thuế, người nộp thuế, căn cứ tính thuế, hoàn thuế, khấu trừ thuế và giảm thuế tiêu thụ đặc biệt.</w:t>
      </w:r>
    </w:p>
    <w:p>
      <w:pPr>
        <w:spacing w:after="120" w:afterAutospacing="0"/>
      </w:pPr>
      <w:bookmarkStart w:id="7" w:name="dieu_2"/>
      <w:r>
        <w:rPr>
          <w:b w:val="1"/>
        </w:rPr>
        <w:t>Điều 2. Đối tượng chịu thuế</w:t>
      </w:r>
      <w:bookmarkEnd w:id="7"/>
    </w:p>
    <w:p>
      <w:pPr>
        <w:spacing w:after="120" w:afterAutospacing="0"/>
      </w:pPr>
      <w:r>
        <w:t>1. Hàng hóa:</w:t>
      </w:r>
    </w:p>
    <w:p>
      <w:pPr>
        <w:spacing w:after="120" w:afterAutospacing="0"/>
      </w:pPr>
      <w:r>
        <w:t xml:space="preserve">a) Thuốc lá điếu, xì gà và chế phẩm khác từ cây thuốc lá dùng để hút, hít, nhai, ngửi, ngậm; </w:t>
      </w:r>
    </w:p>
    <w:p>
      <w:pPr>
        <w:spacing w:after="120" w:afterAutospacing="0"/>
      </w:pPr>
      <w:r>
        <w:t>b) Rượu;</w:t>
      </w:r>
    </w:p>
    <w:p>
      <w:pPr>
        <w:spacing w:after="120" w:afterAutospacing="0"/>
      </w:pPr>
      <w:r>
        <w:t>c) Bia;</w:t>
      </w:r>
    </w:p>
    <w:p>
      <w:pPr>
        <w:spacing w:after="120" w:afterAutospacing="0"/>
      </w:pPr>
      <w:bookmarkStart w:id="8" w:name="diem_d_1_2"/>
      <w:r>
        <w:t>d) Xe ô tô dưới 24 chỗ, kể cả xe ô tô vừa chở người, vừa chở hàng loại có từ hai hàng ghế trở lên, có thiết kế vách ngăn cố định giữa khoang chở người và khoang chở hàng;</w:t>
      </w:r>
      <w:bookmarkEnd w:id="8"/>
    </w:p>
    <w:p>
      <w:pPr>
        <w:spacing w:after="120" w:afterAutospacing="0"/>
      </w:pPr>
      <w:r>
        <w:t>đ) Xe mô tô hai bánh, xe mô tô ba bánh có dung tích xi lanh trên 125cm</w:t>
      </w:r>
      <w:r>
        <w:rPr>
          <w:vertAlign w:val="superscript"/>
        </w:rPr>
        <w:t>3</w:t>
      </w:r>
      <w:r>
        <w:t>;</w:t>
      </w:r>
    </w:p>
    <w:p>
      <w:pPr>
        <w:spacing w:after="120" w:afterAutospacing="0"/>
      </w:pPr>
      <w:bookmarkStart w:id="9" w:name="diem_e_1_2"/>
      <w:r>
        <w:t>e) Tàu bay, du thuyền;</w:t>
      </w:r>
      <w:bookmarkEnd w:id="9"/>
    </w:p>
    <w:p>
      <w:pPr>
        <w:spacing w:after="120" w:afterAutospacing="0"/>
      </w:pPr>
      <w:bookmarkStart w:id="10" w:name="diem_1"/>
      <w:r>
        <w:t>g) Xăng các loại, nap-ta (naphtha), chế phẩm tái hợp (reformade component) và các chế phẩm khác để pha chế xăng;</w:t>
      </w:r>
      <w:bookmarkEnd w:id="10"/>
    </w:p>
    <w:p>
      <w:pPr>
        <w:spacing w:after="120" w:afterAutospacing="0"/>
      </w:pPr>
      <w:bookmarkStart w:id="11" w:name="diem_h_1_2"/>
      <w:r>
        <w:t>h) Điều hoà nhiệt độ công suất từ 90.000 BTU trở xuống;</w:t>
      </w:r>
      <w:bookmarkEnd w:id="11"/>
    </w:p>
    <w:p>
      <w:pPr>
        <w:spacing w:after="120" w:afterAutospacing="0"/>
      </w:pPr>
      <w:r>
        <w:t>i) Bài lá;</w:t>
      </w:r>
    </w:p>
    <w:p>
      <w:pPr>
        <w:spacing w:after="120" w:afterAutospacing="0"/>
      </w:pPr>
      <w:bookmarkStart w:id="12" w:name="diem_k_1_2"/>
      <w:r>
        <w:t>k) Vàng mã, hàng mã.</w:t>
      </w:r>
      <w:bookmarkEnd w:id="12"/>
    </w:p>
    <w:p>
      <w:pPr>
        <w:spacing w:after="120" w:afterAutospacing="0"/>
      </w:pPr>
      <w:bookmarkStart w:id="13" w:name="khoan_2_2"/>
      <w:r>
        <w:t>2. Dịch vụ:</w:t>
      </w:r>
      <w:bookmarkEnd w:id="13"/>
    </w:p>
    <w:p>
      <w:pPr>
        <w:spacing w:after="120" w:afterAutospacing="0"/>
      </w:pPr>
      <w:r>
        <w:t>a) Kinh doanh vũ trường;</w:t>
      </w:r>
    </w:p>
    <w:p>
      <w:pPr>
        <w:spacing w:after="120" w:afterAutospacing="0"/>
      </w:pPr>
      <w:r>
        <w:t>b) Kinh doanh mát-xa (massage), ka-ra-ô-kê (karaoke);</w:t>
      </w:r>
    </w:p>
    <w:p>
      <w:pPr>
        <w:spacing w:after="120" w:afterAutospacing="0"/>
      </w:pPr>
      <w:r>
        <w:t xml:space="preserve">c) Kinh doanh ca-si-nô (casino); trò chơi điện tử có thưởng bao gồm trò chơi bằng máy giắc-pót (jackpot), máy sờ-lot (slot) và các loại máy tương tự; </w:t>
      </w:r>
    </w:p>
    <w:p>
      <w:pPr>
        <w:spacing w:after="120" w:afterAutospacing="0"/>
      </w:pPr>
      <w:bookmarkStart w:id="14" w:name="diem_d_2_2"/>
      <w:r>
        <w:t>d) Kinh doanh đặt cược;</w:t>
      </w:r>
      <w:bookmarkEnd w:id="14"/>
      <w:r>
        <w:t xml:space="preserve"> </w:t>
      </w:r>
    </w:p>
    <w:p>
      <w:pPr>
        <w:spacing w:after="120" w:afterAutospacing="0"/>
      </w:pPr>
      <w:bookmarkStart w:id="15" w:name="diem_dd_2_2"/>
      <w:r>
        <w:t>đ) Kinh doanh gôn (golf) bao gồm bán thẻ hội viên, vé chơi gôn;</w:t>
      </w:r>
      <w:bookmarkEnd w:id="15"/>
    </w:p>
    <w:p>
      <w:pPr>
        <w:spacing w:after="120" w:afterAutospacing="0"/>
      </w:pPr>
      <w:r>
        <w:t>e) Kinh doanh xổ số.</w:t>
      </w:r>
    </w:p>
    <w:p>
      <w:pPr>
        <w:spacing w:after="120" w:afterAutospacing="0"/>
      </w:pPr>
      <w:bookmarkStart w:id="16" w:name="dieu_3"/>
      <w:r>
        <w:rPr>
          <w:b w:val="1"/>
        </w:rPr>
        <w:t>Điều 3. Đối tượng không chịu thuế</w:t>
      </w:r>
      <w:r>
        <w:rPr>
          <w:b w:val="1"/>
          <w:i w:val="1"/>
        </w:rPr>
        <w:t xml:space="preserve">      </w:t>
      </w:r>
      <w:bookmarkEnd w:id="16"/>
    </w:p>
    <w:p>
      <w:pPr>
        <w:spacing w:after="120" w:afterAutospacing="0"/>
      </w:pPr>
      <w:r>
        <w:t xml:space="preserve">Hàng hóa quy định tại khoản 1 Điều 2 của Luật này không thuộc diện chịu thuế tiêu thụ đặc biệt trong các trường hợp sau:  </w:t>
      </w:r>
    </w:p>
    <w:p>
      <w:pPr>
        <w:spacing w:after="120" w:afterAutospacing="0"/>
      </w:pPr>
      <w:r>
        <w:t>1. Hàng hóa do cơ sở sản xuất, gia công trực tiếp xuất khẩu hoặc bán, ủy thác cho cơ sở kinh doanh khác để xuất khẩu;</w:t>
      </w:r>
    </w:p>
    <w:p>
      <w:pPr>
        <w:spacing w:after="120" w:afterAutospacing="0"/>
      </w:pPr>
      <w:r>
        <w:t xml:space="preserve">2. Hàng hóa nhập khẩu bao gồm:            </w:t>
      </w:r>
    </w:p>
    <w:p>
      <w:pPr>
        <w:spacing w:after="120" w:afterAutospacing="0"/>
      </w:pPr>
      <w:bookmarkStart w:id="17" w:name="diem_a_2_3"/>
      <w:r>
        <w:t>a) Hàng viện trợ nhân đạo, viện trợ không hoàn lại; quà tặng cho cơ quan nhà nước, tổ chức chính trị, tổ chức chính trị - xã hội, tổ chức chính trị xã hội - nghề nghiệp, tổ chức xã hội, tổ chức xã hội - nghề nghiệp, đơn vị vũ trang nhân dân, quà biếu, quà tặng cho cá nhân tại Việt Nam theo mức quy định của Chính phủ;</w:t>
      </w:r>
      <w:bookmarkEnd w:id="17"/>
    </w:p>
    <w:p>
      <w:pPr>
        <w:spacing w:after="120" w:afterAutospacing="0"/>
      </w:pPr>
      <w:bookmarkStart w:id="18" w:name="diem_b_2_3"/>
      <w:r>
        <w:t>b) Hàng hóa vận chuyển quá cảnh hoặc mượn đường qua cửa khẩu, biên giới Việt Nam, hàng hóa chuyển khẩu theo quy định của Chính phủ;</w:t>
      </w:r>
      <w:bookmarkEnd w:id="18"/>
    </w:p>
    <w:p>
      <w:pPr>
        <w:spacing w:after="120" w:afterAutospacing="0"/>
      </w:pPr>
      <w:bookmarkStart w:id="19" w:name="diem_c_2_3"/>
      <w:r>
        <w:t>c) Hàng tạm nhập khẩu, tái xuất khẩu và tạm xuất khẩu, tái nhập khẩu không phải nộp thuế nhập khẩu, thuế xuất khẩu trong thời hạn theo quy định của pháp luật về thuế xuất khẩu, thuế nhập khẩu;</w:t>
      </w:r>
      <w:bookmarkEnd w:id="19"/>
    </w:p>
    <w:p>
      <w:pPr>
        <w:spacing w:after="120" w:afterAutospacing="0"/>
      </w:pPr>
      <w:bookmarkStart w:id="20" w:name="diem_d_2_3"/>
      <w:r>
        <w:t>d) Đồ dùng của tổ chức, cá nhân nước ngoài theo tiêu chuẩn miễn trừ ngoại giao; hàng mang theo người trong tiêu chuẩn hành lý miễn thuế; hàng nhập khẩu để bán miễn thuế theo quy định của pháp luật;</w:t>
      </w:r>
      <w:bookmarkEnd w:id="20"/>
      <w:r>
        <w:t xml:space="preserve"> </w:t>
      </w:r>
    </w:p>
    <w:p>
      <w:pPr>
        <w:spacing w:after="120" w:afterAutospacing="0"/>
      </w:pPr>
      <w:bookmarkStart w:id="21" w:name="khoan_1"/>
      <w:r>
        <w:t>3. Tàu bay, du thuyền sử dụng cho mục đích kinh doanh vận chuyển hàng hoá, hành khách, khách du lịch;</w:t>
      </w:r>
      <w:bookmarkEnd w:id="21"/>
    </w:p>
    <w:p>
      <w:pPr>
        <w:spacing w:after="120" w:afterAutospacing="0"/>
      </w:pPr>
      <w:bookmarkStart w:id="22" w:name="khoan_4_3"/>
      <w:r>
        <w:t>4. Xe ô tô cứu thương; xe ô tô chở phạm nhân; xe ô tô tang lễ; xe ô tô thiết kế vừa có chỗ ngồi, vừa có chỗ đứng chở được từ 24 người trở lên; xe ô tô chạy trong khu vui chơi, giải trí, thể thao không đăng ký lưu hành và không tham gia giao thông;</w:t>
      </w:r>
      <w:bookmarkEnd w:id="22"/>
    </w:p>
    <w:p>
      <w:pPr>
        <w:spacing w:after="120" w:afterAutospacing="0"/>
      </w:pPr>
      <w:bookmarkStart w:id="23" w:name="khoan_5_3"/>
      <w:r>
        <w:t>5. Hàng hoá nhập khẩu từ nước ngoài vào khu phi thuế quan, hàng hoá từ nội địa bán vào khu phi thuế quan và chỉ sử dụng trong khu phi thuế quan, hàng hoá được mua bán giữa các khu phi thuế quan với nhau, trừ xe ô tô chở người dưới 24 chỗ.</w:t>
      </w:r>
      <w:bookmarkEnd w:id="23"/>
    </w:p>
    <w:p>
      <w:pPr>
        <w:spacing w:after="120" w:afterAutospacing="0"/>
      </w:pPr>
      <w:bookmarkStart w:id="24" w:name="dieu_4"/>
      <w:r>
        <w:rPr>
          <w:b w:val="1"/>
        </w:rPr>
        <w:t>Điều 4.</w:t>
      </w:r>
      <w:r>
        <w:rPr>
          <w:b w:val="1"/>
          <w:i w:val="1"/>
        </w:rPr>
        <w:t xml:space="preserve"> </w:t>
      </w:r>
      <w:r>
        <w:rPr>
          <w:b w:val="1"/>
        </w:rPr>
        <w:t>Người nộp thuế</w:t>
      </w:r>
      <w:bookmarkEnd w:id="24"/>
    </w:p>
    <w:p>
      <w:pPr>
        <w:spacing w:after="120" w:afterAutospacing="0"/>
      </w:pPr>
      <w:r>
        <w:t>Người</w:t>
      </w:r>
      <w:r>
        <w:rPr>
          <w:i w:val="1"/>
        </w:rPr>
        <w:t xml:space="preserve"> </w:t>
      </w:r>
      <w:r>
        <w:t>nộp thuế tiêu thụ đặc biệt là tổ chức, cá nhân sản xuất, nhập khẩu hàng hóa và kinh doanh dịch vụ thuộc đối tượng chịu thuế tiêu thụ đặc biệt.</w:t>
      </w:r>
    </w:p>
    <w:p>
      <w:pPr>
        <w:spacing w:after="120" w:afterAutospacing="0"/>
      </w:pPr>
      <w:r>
        <w:t>Trường hợp tổ chức, cá nhân có hoạt động kinh doanh xuất khẩu mua hàng hoá thuộc diện chịu thuế tiêu thụ đặc biệt của cơ sở sản xuất để xuất khẩu nhưng không xuất khẩu mà tiêu thụ trong nước thì tổ chức, cá nhân có hoạt động kinh doanh xuất khẩu là người nộp thuế tiêu thụ đặc biệt.</w:t>
      </w:r>
    </w:p>
    <w:p>
      <w:pPr>
        <w:spacing w:after="120" w:afterAutospacing="0"/>
      </w:pPr>
      <w:bookmarkStart w:id="25" w:name="chuong_2"/>
      <w:r>
        <w:rPr>
          <w:b w:val="1"/>
        </w:rPr>
        <w:t>CHƯƠNG II</w:t>
      </w:r>
      <w:bookmarkEnd w:id="25"/>
    </w:p>
    <w:p>
      <w:pPr>
        <w:spacing w:after="120" w:afterAutospacing="0"/>
        <w:jc w:val="center"/>
      </w:pPr>
      <w:bookmarkStart w:id="26" w:name="chuong_2_name"/>
      <w:r>
        <w:rPr>
          <w:b w:val="1"/>
          <w:sz w:val="24"/>
        </w:rPr>
        <w:t xml:space="preserve">CĂN CỨ TÍNH THUẾ </w:t>
      </w:r>
      <w:bookmarkEnd w:id="26"/>
    </w:p>
    <w:p>
      <w:pPr>
        <w:spacing w:after="120" w:afterAutospacing="0"/>
      </w:pPr>
      <w:bookmarkStart w:id="27" w:name="dieu_5"/>
      <w:r>
        <w:rPr>
          <w:b w:val="1"/>
        </w:rPr>
        <w:t>Điều 5. Căn cứ tính thuế</w:t>
      </w:r>
      <w:bookmarkEnd w:id="27"/>
    </w:p>
    <w:p>
      <w:pPr>
        <w:spacing w:after="120" w:afterAutospacing="0"/>
      </w:pPr>
      <w:r>
        <w:t>Căn cứ tính thuế tiêu thụ đặc biệt là giá tính thuế của hàng hóa, dịch vụ chịu thuế và thuế suất. Số thuế tiêu thụ đặc biệt phải nộp bằng giá tính thuế tiêu thụ đặc biệt nhân với thuế suất thuế tiêu thụ đặc biệt.</w:t>
      </w:r>
    </w:p>
    <w:p>
      <w:pPr>
        <w:spacing w:after="120" w:afterAutospacing="0"/>
      </w:pPr>
      <w:bookmarkStart w:id="28" w:name="dieu_6"/>
      <w:r>
        <w:rPr>
          <w:b w:val="1"/>
        </w:rPr>
        <w:t>Điều 6. Giá tính thuế</w:t>
      </w:r>
      <w:bookmarkEnd w:id="28"/>
    </w:p>
    <w:p>
      <w:pPr>
        <w:spacing w:after="120" w:afterAutospacing="0"/>
      </w:pPr>
      <w:bookmarkStart w:id="29" w:name="cumtu_1"/>
      <w:r>
        <w:t>Giá tính thuế tiêu thụ đặc biệt đối với hàng hoá, dịch vụ là giá bán ra, giá cung ứng dịch vụ chưa có thuế tiêu thụ đặc biệt và chưa có thuế giá trị gia tăng được quy định như sau:</w:t>
      </w:r>
      <w:bookmarkEnd w:id="29"/>
    </w:p>
    <w:p>
      <w:pPr>
        <w:spacing w:after="120" w:afterAutospacing="0"/>
      </w:pPr>
      <w:bookmarkStart w:id="30" w:name="cumtu_2"/>
      <w:r>
        <w:t>1. Đối với hàng hóa sản xuất trong nước là giá do cơ sở sản xuất bán ra;</w:t>
      </w:r>
      <w:bookmarkEnd w:id="30"/>
      <w:r>
        <w:t xml:space="preserve"> </w:t>
      </w:r>
    </w:p>
    <w:p>
      <w:pPr>
        <w:spacing w:after="120" w:afterAutospacing="0"/>
      </w:pPr>
      <w:bookmarkStart w:id="31" w:name="cumtu_3"/>
      <w:r>
        <w:t>2. Đối với hàng hóa nhập khẩu là giá tính thuế nhập khẩu cộng với thuế nhập khẩu. Trường hợp hàng hóa nhập khẩu được miễn, giảm thuế nhập khẩu thì giá tính thuế không bao gồm số thuế nhập khẩu được miễn, giảm;</w:t>
      </w:r>
      <w:bookmarkEnd w:id="31"/>
    </w:p>
    <w:p>
      <w:pPr>
        <w:spacing w:after="120" w:afterAutospacing="0"/>
      </w:pPr>
      <w:r>
        <w:t xml:space="preserve">3. Đối với hàng hóa gia công là giá tính thuế của hàng hóa bán ra của cơ sở giao gia công hoặc giá bán của sản phẩm cùng loại hoặc tương đương tại cùng thời điểm bán hàng;  </w:t>
      </w:r>
    </w:p>
    <w:p>
      <w:pPr>
        <w:spacing w:after="120" w:afterAutospacing="0"/>
      </w:pPr>
      <w:r>
        <w:t>4. Đối với hàng hóa bán theo phương thức trả góp, trả chậm là giá bán theo phương thức bán trả tiền một lần của hàng hóa đó không bao gồm khoản lãi trả góp, lãi trả chậm;</w:t>
      </w:r>
    </w:p>
    <w:p>
      <w:pPr>
        <w:spacing w:after="120" w:afterAutospacing="0"/>
      </w:pPr>
      <w:r>
        <w:t>5. Đối với dịch vụ là giá cung ứng dịch vụ của cơ sở kinh doanh. Giá cung ứng dịch vụ đối với một số trường hợp được quy định như sau:</w:t>
      </w:r>
    </w:p>
    <w:p>
      <w:pPr>
        <w:spacing w:after="120" w:afterAutospacing="0"/>
      </w:pPr>
      <w:r>
        <w:t>a) Đối với kinh doanh gôn là giá bán thẻ hội viên, giá bán vé chơi gôn bao gồm cả tiền phí chơi gôn và tiền ký quỹ (nếu có);</w:t>
      </w:r>
    </w:p>
    <w:p>
      <w:pPr>
        <w:spacing w:after="120" w:afterAutospacing="0"/>
      </w:pPr>
      <w:r>
        <w:t>b) Đối với kinh doanh ca-si-nô, trò chơi điện tử có thưởng, kinh doanh đặt cược là doanh thu từ hoạt động này trừ số tiền đã trả thưởng cho khách;</w:t>
      </w:r>
    </w:p>
    <w:p>
      <w:pPr>
        <w:spacing w:after="120" w:afterAutospacing="0"/>
      </w:pPr>
      <w:r>
        <w:t>c) Đối với kinh doanh vũ trường, mát-xa, ka-ra-ô-kê là doanh thu của các hoạt động kinh doanh trong vũ trường, cơ sở kinh doanh mát-xa, ka-ra-ô-kê;</w:t>
      </w:r>
    </w:p>
    <w:p>
      <w:pPr>
        <w:spacing w:after="120" w:afterAutospacing="0"/>
      </w:pPr>
      <w:r>
        <w:t xml:space="preserve">6. Đối với hàng hóa, dịch vụ dùng để trao đổi hoặc tiêu dùng nội bộ, biếu, tặng cho là giá tính thuế tiêu thụ đặc biệt của hàng hóa, dịch vụ cùng loại hoặc tương đương tại thời điểm phát sinh các hoạt động này.     </w:t>
      </w:r>
    </w:p>
    <w:p>
      <w:pPr>
        <w:spacing w:after="120" w:afterAutospacing="0"/>
      </w:pPr>
      <w:r>
        <w:t xml:space="preserve">Giá tính thuế tiêu thụ đặc biệt đối với hàng hóa, dịch vụ quy định tại Điều này bao gồm cả khoản thu thêm, được thu (nếu có) mà cơ sở kinh doanh được hưởng. </w:t>
      </w:r>
    </w:p>
    <w:p>
      <w:pPr>
        <w:spacing w:after="120" w:afterAutospacing="0"/>
      </w:pPr>
      <w:r>
        <w:t>Giá tính thuế được tính bằng Đồng Việt Nam. Trường hợp người nộp thuế có doanh thu bằng ngoại tệ thì phải quy đổi ngoại tệ ra Đồng Việt Nam theo tỷ giá giao dịch bình quân trên thị trường ngoại tệ liên ngân hàng do Ngân hàng nhà nước Việt Nam công bố tại thời điểm phát sinh doanh thu để xác định giá tính thuế.</w:t>
      </w:r>
    </w:p>
    <w:p>
      <w:pPr>
        <w:spacing w:after="120" w:afterAutospacing="0"/>
      </w:pPr>
      <w:r>
        <w:t>Chính phủ quy định cụ thể Điều này.</w:t>
      </w:r>
    </w:p>
    <w:p>
      <w:pPr>
        <w:spacing w:after="120" w:afterAutospacing="0"/>
      </w:pPr>
      <w:bookmarkStart w:id="32" w:name="dieu_7"/>
      <w:r>
        <w:rPr>
          <w:b w:val="1"/>
        </w:rPr>
        <w:t>Điều 7. Thuế suất</w:t>
      </w:r>
      <w:bookmarkEnd w:id="32"/>
    </w:p>
    <w:p>
      <w:pPr>
        <w:spacing w:after="120" w:afterAutospacing="0"/>
      </w:pPr>
      <w:r>
        <w:t>Thuế suất thuế tiêu thụ đặc biệt đối với hàng hoá, dịch vụ được quy định theo Biểu thuế tiêu thụ đặc biệt sau đây:</w:t>
      </w:r>
    </w:p>
    <w:p>
      <w:pPr>
        <w:spacing w:after="120" w:afterAutospacing="0"/>
        <w:jc w:val="center"/>
      </w:pPr>
      <w:r>
        <w:t>BIỂU THUẾ TIÊU THỤ ĐẶC BIỆT</w:t>
      </w:r>
    </w:p>
    <w:tbl>
      <w:tblPr>
        <w:tblW w:w="936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4"/>
        </w:trPr>
        <w:tc>
          <w:tcPr>
            <w:tcW w:w="720" w:type="dxa"/>
            <w:tcBorders>
              <w:top w:val="single" w:sz="8" w:space="0" w:shadow="0" w:frame="0"/>
              <w:left w:val="single" w:sz="8" w:space="0" w:shadow="0" w:frame="0"/>
              <w:bottom w:val="single" w:sz="8" w:space="0" w:shadow="0" w:frame="0"/>
              <w:right w:val="single" w:sz="8" w:space="0" w:shadow="0" w:frame="0"/>
            </w:tcBorders>
            <w:shd w:val="solid" w:color="CCFFFF" w:fill="auto"/>
            <w:tcMar>
              <w:top w:w="0" w:type="dxa"/>
              <w:left w:w="28" w:type="dxa"/>
              <w:bottom w:w="0" w:type="dxa"/>
              <w:right w:w="28" w:type="dxa"/>
            </w:tcMar>
          </w:tcPr>
          <w:p>
            <w:pPr>
              <w:spacing w:after="0" w:afterAutospacing="0"/>
              <w:jc w:val="center"/>
            </w:pPr>
            <w:r>
              <w:rPr>
                <w:b w:val="1"/>
              </w:rPr>
              <w:t>STT</w:t>
            </w:r>
          </w:p>
        </w:tc>
        <w:tc>
          <w:tcPr>
            <w:tcW w:w="6660" w:type="dxa"/>
            <w:tcBorders>
              <w:top w:val="single" w:sz="8" w:space="0" w:shadow="0" w:frame="0"/>
              <w:left w:val="none" w:sz="0" w:space="0" w:shadow="0" w:frame="0"/>
              <w:bottom w:val="single" w:sz="8" w:space="0" w:shadow="0" w:frame="0"/>
              <w:right w:val="single" w:sz="8" w:space="0" w:shadow="0" w:frame="0"/>
            </w:tcBorders>
            <w:shd w:val="solid" w:color="CCFFFF" w:fill="auto"/>
            <w:tcMar>
              <w:top w:w="0" w:type="dxa"/>
              <w:left w:w="28" w:type="dxa"/>
              <w:bottom w:w="0" w:type="dxa"/>
              <w:right w:w="28" w:type="dxa"/>
            </w:tcMar>
          </w:tcPr>
          <w:p>
            <w:pPr>
              <w:spacing w:after="0" w:afterAutospacing="0"/>
              <w:jc w:val="center"/>
            </w:pPr>
            <w:r>
              <w:rPr>
                <w:b w:val="1"/>
              </w:rPr>
              <w:t>Hàng hoá, dịch vụ</w:t>
            </w:r>
          </w:p>
        </w:tc>
        <w:tc>
          <w:tcPr>
            <w:tcW w:w="1980" w:type="dxa"/>
            <w:tcBorders>
              <w:top w:val="single" w:sz="8" w:space="0" w:shadow="0" w:frame="0"/>
              <w:left w:val="none" w:sz="0" w:space="0" w:shadow="0" w:frame="0"/>
              <w:bottom w:val="single" w:sz="8" w:space="0" w:shadow="0" w:frame="0"/>
              <w:right w:val="single" w:sz="8" w:space="0" w:shadow="0" w:frame="0"/>
            </w:tcBorders>
            <w:shd w:val="solid" w:color="CCFFFF" w:fill="auto"/>
            <w:tcMar>
              <w:top w:w="0" w:type="dxa"/>
              <w:left w:w="28" w:type="dxa"/>
              <w:bottom w:w="0" w:type="dxa"/>
              <w:right w:w="28" w:type="dxa"/>
            </w:tcMar>
          </w:tcPr>
          <w:p>
            <w:pPr>
              <w:spacing w:after="0" w:afterAutospacing="0"/>
              <w:jc w:val="center"/>
            </w:pPr>
            <w:r>
              <w:rPr>
                <w:b w:val="1"/>
              </w:rPr>
              <w:t>Thuế suất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I</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Hàng hoá</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Thuốc lá điếu, xì gà và các chế phẩm khác từ cây thuốc lá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Rượu</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a) Rượu từ 20 độ trở lên</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rPr>
                <w:i w:val="1"/>
              </w:rPr>
              <w:t> </w:t>
            </w:r>
            <w:r>
              <w:t>Từ ngày 01 tháng 01 năm 2010 đến hết ngày 31 tháng 12 năm 2012</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Từ ngày 01 tháng 01 năm 2013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b) Rượu dưới 20 độ</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Bia</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Từ ngày 01 tháng 01 năm 2010 đến hết ngày 31 tháng 12 năm 2012</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45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Từ ngày 01 tháng 01 năm 2013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bookmarkStart w:id="33" w:name="cumtu_4"/>
            <w:r>
              <w:t>4</w:t>
            </w:r>
            <w:bookmarkEnd w:id="33"/>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bookmarkStart w:id="34" w:name="cumtu_4_name"/>
            <w:r>
              <w:t>Xe ô tô dưới 24 chỗ</w:t>
            </w:r>
            <w:bookmarkEnd w:id="34"/>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a) Xe ô tô chở người từ 9 chỗ trở xuống, trừ loại quy định tại điểm 4đ, 4e và 4g Điều này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có dung tích xi lanh từ 2.000 cm</w:t>
            </w:r>
            <w:r>
              <w:rPr>
                <w:vertAlign w:val="superscript"/>
              </w:rPr>
              <w:t>3</w:t>
            </w:r>
            <w:r>
              <w:t xml:space="preserve"> trở xuống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có dung tích xi lanh trên 2.000 cm</w:t>
            </w:r>
            <w:r>
              <w:rPr>
                <w:vertAlign w:val="superscript"/>
              </w:rPr>
              <w:t>3</w:t>
            </w:r>
            <w:r>
              <w:t xml:space="preserve"> đến 3.000 cm</w:t>
            </w:r>
            <w:r>
              <w:rPr>
                <w:vertAlign w:val="superscript"/>
              </w:rPr>
              <w:t>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có dung tích xi lanh trên 3.000 cm</w:t>
            </w:r>
            <w:r>
              <w:rPr>
                <w:vertAlign w:val="superscript"/>
              </w:rPr>
              <w:t>3</w:t>
            </w:r>
            <w:r>
              <w:t xml:space="preserve">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b) Xe ô tô chở người từ 10 đến dưới 16 chỗ, trừ loại quy định tại điểm 4đ, 4e và 4g Điều này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c) Xe ô tô chở người từ 16 đến dưới 24 chỗ, trừ loại quy định tại điểm 4đ, 4e và 4g Điều này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d) Xe ô tô vừa chở người, vừa chở hàng, trừ loại quy định tại điểm 4đ, 4e và 4g Điều này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đ) Xe ô tô chạy bằng xăng kết hợp năng lượng điện, năng lượng sinh học, trong đó tỷ trọng xăng sử dụng không quá 70% số năng lượng sử dụng.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Bằng 70% mức thuế suất áp dụng cho xe cùng loại quy định tại điểm 4a, 4b, 4c và 4d Điều này</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e) Xe ô tô chạy bằng năng lượng sinh học</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Bằng 50% mức thuế suất áp dụng cho xe cùng loại quy định tại điểm 4a, 4b, 4c và 4d Điều này</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bookmarkStart w:id="35" w:name="diem_g_1_1"/>
            <w:r>
              <w:t>g) Xe ô tô chạy bằng điện</w:t>
            </w:r>
            <w:bookmarkEnd w:id="35"/>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chở người từ 9 chỗ trở xuống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Loại chở người từ 10 đến dưới 16 chỗ</w:t>
            </w:r>
            <w:r>
              <w:rPr>
                <w:strike w:val="1"/>
                <w:u w:val="single"/>
              </w:rPr>
              <w:t xml:space="preserve">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15</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Loại chở người từ 16 đến dưới 24 chỗ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 xml:space="preserve">Loại thiết kế vừa chở người, vừa chở hàng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Xe mô tô hai bánh, xe mô tô ba bánh có dung tích xi lanh trên 125cm</w:t>
            </w:r>
            <w:r>
              <w:rPr>
                <w:vertAlign w:val="superscript"/>
              </w:rPr>
              <w:t>3</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20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pPr>
            <w:r>
              <w:t>Tàu bay</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7</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Du thuyền</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8</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Xăng các loại, nap-ta, chế phẩm tái hợp và các chế phẩm khác để pha chế xăng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9</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Điều hoà nhiệt độ công suất từ 90.000 BTU trở xuống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10</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Bài lá</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11</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Vàng mã, hàng mã</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vAlign w:val="center"/>
          </w:tcPr>
          <w:p>
            <w:pPr>
              <w:spacing w:after="0" w:afterAutospacing="0"/>
              <w:jc w:val="center"/>
            </w:pPr>
            <w:r>
              <w:t>70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II</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Dịch vụ</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 </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vũ trường</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mát-xa, ka-ra-ô-kê</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Kinh doanh ca-si-nô, trò chơi điện tử có thưởng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4</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đặt cược</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30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5</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Kinh doanh gôn</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20</w:t>
            </w:r>
          </w:p>
        </w:tc>
      </w:tr>
      <w:tr>
        <w:tblPrEx>
          <w:tblW w:w="9360" w:type="dxa"/>
          <w:jc w:val="left"/>
          <w:tblLayout w:type="autofit"/>
          <w:tblCellMar>
            <w:top w:w="0" w:type="dxa"/>
            <w:left w:w="0" w:type="dxa"/>
            <w:bottom w:w="0" w:type="dxa"/>
            <w:right w:w="0" w:type="dxa"/>
          </w:tblCellMar>
        </w:tblPrEx>
        <w:tc>
          <w:tcPr>
            <w:tcW w:w="720" w:type="dxa"/>
            <w:tcBorders>
              <w:top w:val="none" w:sz="0" w:space="0" w:shadow="0" w:frame="0"/>
              <w:left w:val="single" w:sz="8"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6</w:t>
            </w:r>
          </w:p>
        </w:tc>
        <w:tc>
          <w:tcPr>
            <w:tcW w:w="666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pPr>
            <w:r>
              <w:t xml:space="preserve">Kinh doanh xổ số </w:t>
            </w:r>
          </w:p>
        </w:tc>
        <w:tc>
          <w:tcPr>
            <w:tcW w:w="1980" w:type="dxa"/>
            <w:tcBorders>
              <w:top w:val="none" w:sz="0" w:space="0" w:shadow="0" w:frame="0"/>
              <w:left w:val="none" w:sz="0" w:space="0" w:shadow="0" w:frame="0"/>
              <w:bottom w:val="single" w:sz="8" w:space="0" w:shadow="0" w:frame="0"/>
              <w:right w:val="single" w:sz="8" w:space="0" w:shadow="0" w:frame="0"/>
            </w:tcBorders>
            <w:tcMar>
              <w:top w:w="0" w:type="dxa"/>
              <w:left w:w="28" w:type="dxa"/>
              <w:bottom w:w="0" w:type="dxa"/>
              <w:right w:w="28" w:type="dxa"/>
            </w:tcMar>
          </w:tcPr>
          <w:p>
            <w:pPr>
              <w:spacing w:after="0" w:afterAutospacing="0"/>
              <w:jc w:val="center"/>
            </w:pPr>
            <w:r>
              <w:t>15</w:t>
            </w:r>
          </w:p>
        </w:tc>
      </w:tr>
    </w:tbl>
    <w:p>
      <w:pPr>
        <w:spacing w:after="120" w:afterAutospacing="0"/>
      </w:pPr>
      <w:r>
        <w:t> </w:t>
      </w:r>
    </w:p>
    <w:p>
      <w:pPr>
        <w:spacing w:after="120" w:afterAutospacing="0"/>
      </w:pPr>
      <w:bookmarkStart w:id="36" w:name="chuong_3"/>
      <w:r>
        <w:rPr>
          <w:b w:val="1"/>
        </w:rPr>
        <w:t>CHƯƠNG III</w:t>
      </w:r>
      <w:bookmarkEnd w:id="36"/>
    </w:p>
    <w:p>
      <w:pPr>
        <w:spacing w:after="120" w:afterAutospacing="0"/>
        <w:jc w:val="center"/>
      </w:pPr>
      <w:bookmarkStart w:id="37" w:name="chuong_3_name"/>
      <w:r>
        <w:rPr>
          <w:b w:val="1"/>
          <w:sz w:val="24"/>
        </w:rPr>
        <w:t>HOÀN THUẾ, KHẤU TRỪ THUẾ, GIẢM THUẾ</w:t>
      </w:r>
      <w:bookmarkEnd w:id="37"/>
    </w:p>
    <w:p>
      <w:pPr>
        <w:spacing w:after="120" w:afterAutospacing="0"/>
      </w:pPr>
      <w:bookmarkStart w:id="38" w:name="dieu_8"/>
      <w:r>
        <w:rPr>
          <w:b w:val="1"/>
        </w:rPr>
        <w:t>Điều 8. Hoàn thuế, khấu trừ thuế</w:t>
      </w:r>
      <w:bookmarkEnd w:id="38"/>
    </w:p>
    <w:p>
      <w:pPr>
        <w:spacing w:after="120" w:afterAutospacing="0"/>
      </w:pPr>
      <w:bookmarkStart w:id="39" w:name="khoan_1_8"/>
      <w:r>
        <w:t>1. Người nộp thuế tiêu thụ đặc biệt được hoàn thuế đã nộp trong các trường hợp sau:</w:t>
      </w:r>
      <w:bookmarkEnd w:id="39"/>
    </w:p>
    <w:p>
      <w:pPr>
        <w:spacing w:after="120" w:afterAutospacing="0"/>
      </w:pPr>
      <w:r>
        <w:t xml:space="preserve">a) Hàng tạm nhập khẩu, tái xuất khẩu;     </w:t>
      </w:r>
    </w:p>
    <w:p>
      <w:pPr>
        <w:spacing w:after="120" w:afterAutospacing="0"/>
      </w:pPr>
      <w:r>
        <w:t>b) Hàng hóa là nguyên liệu nhập khẩu để sản xuất, gia công hàng xuất khẩu;</w:t>
      </w:r>
    </w:p>
    <w:p>
      <w:pPr>
        <w:spacing w:after="120" w:afterAutospacing="0"/>
      </w:pPr>
      <w:r>
        <w:t xml:space="preserve">c) Quyết toán thuế khi sáp nhập, hợp nhất, chia, tách, giải thể, phá sản, chuyển đổi sở hữu, chuyển đổi doanh nghiệp, chấm dứt hoạt động có số thuế nộp thừa;         </w:t>
      </w:r>
    </w:p>
    <w:p>
      <w:pPr>
        <w:spacing w:after="120" w:afterAutospacing="0"/>
      </w:pPr>
      <w:r>
        <w:t>d) Có quyết định hoàn thuế của cơ quan có thẩm quyền theo quy định của pháp luật và trường hợp hoàn thuế tiêu thụ đặc biệt theo điều ước quốc tế mà Cộng hòa xã hội chủ nghĩa Việt Nam là thành viên.</w:t>
      </w:r>
    </w:p>
    <w:p>
      <w:pPr>
        <w:spacing w:after="120" w:afterAutospacing="0"/>
      </w:pPr>
      <w:r>
        <w:t>Việc hoàn thuế tiêu thụ đặc biệt theo quy định tại điểm a và điểm b khoản này chỉ thực hiện đối với hàng hoá thực tế xuất khẩu.</w:t>
      </w:r>
    </w:p>
    <w:p>
      <w:pPr>
        <w:spacing w:after="120" w:afterAutospacing="0"/>
      </w:pPr>
      <w:bookmarkStart w:id="40" w:name="khoan_2_8"/>
      <w:r>
        <w:t>2. Người nộp thuế sản xuất hàng hóa thuộc đối tượng chịu thuế tiêu thụ đặc biệt bằng nguyên liệu đã nộp thuế tiêu thụ đặc biệt nếu có chứng từ hợp pháp thì được khấu trừ số thuế đã nộp đối với nguyên liệu khi xác định số thuế tiêu thụ đặc biệt phải nộp ở khâu sản xuất.</w:t>
      </w:r>
      <w:bookmarkEnd w:id="40"/>
    </w:p>
    <w:p>
      <w:pPr>
        <w:spacing w:after="120" w:afterAutospacing="0"/>
      </w:pPr>
      <w:r>
        <w:t>Chính phủ quy định cụ thể Điều này.</w:t>
      </w:r>
    </w:p>
    <w:p>
      <w:pPr>
        <w:spacing w:after="120" w:afterAutospacing="0"/>
      </w:pPr>
      <w:bookmarkStart w:id="41" w:name="dieu_9"/>
      <w:r>
        <w:rPr>
          <w:b w:val="1"/>
        </w:rPr>
        <w:t>Điều 9. Giảm thuế</w:t>
      </w:r>
      <w:bookmarkEnd w:id="41"/>
    </w:p>
    <w:p>
      <w:pPr>
        <w:spacing w:after="120" w:afterAutospacing="0"/>
      </w:pPr>
      <w:r>
        <w:t>Người nộp thuế sản xuất hàng hoá thuộc diện chịu thuế tiêu thụ đặc biệt gặp khó khăn do thiên tai, tai nạn bất ngờ được giảm thuế.</w:t>
      </w:r>
      <w:r>
        <w:rPr>
          <w:strike w:val="1"/>
        </w:rPr>
        <w:t xml:space="preserve"> </w:t>
      </w:r>
    </w:p>
    <w:p>
      <w:pPr>
        <w:spacing w:after="120" w:afterAutospacing="0"/>
      </w:pPr>
      <w:r>
        <w:t>Mức giảm thuế được xác định trên cơ sở tổn thất thực tế do thiên tai, tai nạn bất ngờ gây ra nhưng không quá 30% số thuế phải nộp của năm xảy ra thiệt hại và không vượt quá giá trị tài sản bị thiệt hại sau khi được bồi thường (nếu có).</w:t>
      </w:r>
    </w:p>
    <w:p>
      <w:pPr>
        <w:spacing w:after="120" w:afterAutospacing="0"/>
      </w:pPr>
      <w:bookmarkStart w:id="42" w:name="chuong_4"/>
      <w:r>
        <w:rPr>
          <w:b w:val="1"/>
        </w:rPr>
        <w:t>CHƯƠNG IV</w:t>
      </w:r>
      <w:bookmarkEnd w:id="42"/>
    </w:p>
    <w:p>
      <w:pPr>
        <w:spacing w:after="120" w:afterAutospacing="0"/>
        <w:jc w:val="center"/>
      </w:pPr>
      <w:bookmarkStart w:id="43" w:name="chuong_4_name"/>
      <w:r>
        <w:rPr>
          <w:b w:val="1"/>
          <w:sz w:val="24"/>
        </w:rPr>
        <w:t>ĐIỀU KHOẢN THI HÀNH</w:t>
      </w:r>
      <w:bookmarkEnd w:id="43"/>
    </w:p>
    <w:p>
      <w:pPr>
        <w:spacing w:after="120" w:afterAutospacing="0"/>
      </w:pPr>
      <w:bookmarkStart w:id="44" w:name="dieu_10"/>
      <w:r>
        <w:rPr>
          <w:b w:val="1"/>
        </w:rPr>
        <w:t>Điều 10. Hiệu lực thi hành</w:t>
      </w:r>
      <w:bookmarkEnd w:id="44"/>
    </w:p>
    <w:p>
      <w:pPr>
        <w:spacing w:after="120" w:afterAutospacing="0"/>
      </w:pPr>
      <w:r>
        <w:t>1. Luật này có hiệu lực thi hành từ ngày 01 tháng 4 năm 2009; các quy định đối với mặt hàng rượu và bia có hiệu lực thi hành từ ngày 01 tháng 01 năm 2010.</w:t>
      </w:r>
    </w:p>
    <w:p>
      <w:pPr>
        <w:spacing w:after="120" w:afterAutospacing="0"/>
      </w:pPr>
      <w:r>
        <w:t xml:space="preserve">2. Bãi bỏ các quy định tại </w:t>
      </w:r>
      <w:bookmarkStart w:id="45" w:name="tvpllink_nhczuapvbu"/>
      <w:r>
        <w:t>Luật thuế tiêu thụ đặc biệt số 05/1998/QH10</w:t>
      </w:r>
      <w:bookmarkEnd w:id="45"/>
      <w:r>
        <w:t xml:space="preserve">; </w:t>
      </w:r>
      <w:bookmarkStart w:id="46" w:name="tvpllink_uwnyzhfwnh"/>
      <w:r>
        <w:t>Luật sửa đổi, bổ sung một số điều của Luật thuế tiêu thụ đặc biệt số 08/2003/QH11</w:t>
      </w:r>
      <w:bookmarkEnd w:id="46"/>
      <w:r>
        <w:t xml:space="preserve">; </w:t>
      </w:r>
      <w:bookmarkStart w:id="47" w:name="dc_2"/>
      <w:r>
        <w:t>Điều 1 của Luật sửa đổi, bổ sung một số điều của Luật thuế tiêu thụ đặc biệt và Luật thuế giá trị gia tăng số 57/2005/QH11</w:t>
      </w:r>
      <w:bookmarkEnd w:id="47"/>
      <w:r>
        <w:t>, trừ các quy định đối với mặt hàng rượu và bia tiếp tục có hiệu lực thi hành đến hết ngày 31 tháng 12 năm 2009.</w:t>
      </w:r>
    </w:p>
    <w:p>
      <w:pPr>
        <w:spacing w:after="120" w:afterAutospacing="0"/>
      </w:pPr>
      <w:bookmarkStart w:id="48" w:name="dieu_11"/>
      <w:r>
        <w:rPr>
          <w:b w:val="1"/>
        </w:rPr>
        <w:t xml:space="preserve">Điều 11. Hướng dẫn thi hành   </w:t>
      </w:r>
      <w:bookmarkEnd w:id="48"/>
    </w:p>
    <w:p>
      <w:pPr>
        <w:spacing w:after="120" w:afterAutospacing="0"/>
      </w:pPr>
      <w:r>
        <w:t>Chính phủ quy định chi tiết, hướng dẫn thi hành các điều, khoản được giao trong Luật này;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4 thông qua ngày 14 tháng 11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