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551DC" w14:textId="77777777" w:rsidR="00CF21A4" w:rsidRDefault="00000000">
      <w:pPr>
        <w:spacing w:before="1800" w:after="240"/>
        <w:jc w:val="center"/>
      </w:pPr>
      <w:r>
        <w:rPr>
          <w:b/>
          <w:bCs/>
          <w:sz w:val="52"/>
          <w:szCs w:val="52"/>
        </w:rPr>
        <w:t>Artificial Intelligence Strategy</w:t>
      </w:r>
    </w:p>
    <w:p w14:paraId="77224A4C" w14:textId="77777777" w:rsidR="00CF21A4" w:rsidRDefault="00000000">
      <w:pPr>
        <w:spacing w:after="120"/>
        <w:jc w:val="center"/>
      </w:pPr>
      <w:r>
        <w:rPr>
          <w:i/>
          <w:iCs/>
          <w:color w:val="3A5F8F"/>
          <w:sz w:val="30"/>
          <w:szCs w:val="30"/>
        </w:rPr>
        <w:t>A foundation for the unknown future</w:t>
      </w:r>
    </w:p>
    <w:p w14:paraId="79893C98" w14:textId="77777777" w:rsidR="00CF21A4" w:rsidRDefault="00000000">
      <w:pPr>
        <w:spacing w:after="600"/>
        <w:jc w:val="center"/>
      </w:pPr>
      <w:r>
        <w:rPr>
          <w:color w:val="555555"/>
        </w:rPr>
        <w:t>Internal strategy document — for leadership, shareholders, and team members</w:t>
      </w:r>
    </w:p>
    <w:p w14:paraId="20E67E25" w14:textId="77777777" w:rsidR="00CF21A4" w:rsidRDefault="00000000">
      <w:pPr>
        <w:spacing w:after="120"/>
        <w:jc w:val="center"/>
      </w:pPr>
      <w:r>
        <w:rPr>
          <w:color w:val="555555"/>
        </w:rPr>
        <w:t xml:space="preserve">Version </w:t>
      </w:r>
      <w:proofErr w:type="gramStart"/>
      <w:r>
        <w:rPr>
          <w:color w:val="555555"/>
        </w:rPr>
        <w:t>1.0  •</w:t>
      </w:r>
      <w:proofErr w:type="gramEnd"/>
      <w:r>
        <w:rPr>
          <w:color w:val="555555"/>
        </w:rPr>
        <w:t xml:space="preserve">  April 2026</w:t>
      </w:r>
    </w:p>
    <w:p w14:paraId="45820CB6" w14:textId="77777777" w:rsidR="00CF21A4" w:rsidRDefault="00000000">
      <w:pPr>
        <w:pStyle w:val="Heading1"/>
        <w:pageBreakBefore/>
        <w:spacing w:before="0"/>
      </w:pPr>
      <w:r>
        <w:lastRenderedPageBreak/>
        <w:t>Table of Contents</w:t>
      </w:r>
    </w:p>
    <w:p w14:paraId="292E6F98" w14:textId="77777777" w:rsidR="00CF21A4" w:rsidRDefault="00000000">
      <w:pPr>
        <w:spacing w:after="60"/>
      </w:pPr>
      <w:r>
        <w:t>Executive Summary</w:t>
      </w:r>
      <w:r>
        <w:ptab w:relativeTo="margin" w:alignment="right" w:leader="dot"/>
      </w:r>
      <w:r>
        <w:t>3</w:t>
      </w:r>
    </w:p>
    <w:p w14:paraId="757BED03" w14:textId="77777777" w:rsidR="00CF21A4" w:rsidRDefault="00000000">
      <w:pPr>
        <w:spacing w:after="60"/>
      </w:pPr>
      <w:r>
        <w:t>1. Strategic Context</w:t>
      </w:r>
      <w:r>
        <w:ptab w:relativeTo="margin" w:alignment="right" w:leader="dot"/>
      </w:r>
      <w:r>
        <w:t>4</w:t>
      </w:r>
    </w:p>
    <w:p w14:paraId="2E408147" w14:textId="77777777" w:rsidR="00CF21A4" w:rsidRDefault="00000000">
      <w:pPr>
        <w:spacing w:after="60"/>
        <w:ind w:left="360"/>
      </w:pPr>
      <w:r>
        <w:t>1.1 Why AI, why now</w:t>
      </w:r>
      <w:r>
        <w:ptab w:relativeTo="margin" w:alignment="right" w:leader="dot"/>
      </w:r>
      <w:r>
        <w:t>4</w:t>
      </w:r>
    </w:p>
    <w:p w14:paraId="7BAC5DED" w14:textId="77777777" w:rsidR="00CF21A4" w:rsidRDefault="00000000">
      <w:pPr>
        <w:spacing w:after="60"/>
        <w:ind w:left="360"/>
      </w:pPr>
      <w:r>
        <w:t>1.2 Our vision</w:t>
      </w:r>
      <w:r>
        <w:ptab w:relativeTo="margin" w:alignment="right" w:leader="dot"/>
      </w:r>
      <w:r>
        <w:t>4</w:t>
      </w:r>
    </w:p>
    <w:p w14:paraId="1E9C44D6" w14:textId="77777777" w:rsidR="00CF21A4" w:rsidRDefault="00000000">
      <w:pPr>
        <w:spacing w:after="60"/>
        <w:ind w:left="360"/>
      </w:pPr>
      <w:r>
        <w:t>1.3 Guiding principles</w:t>
      </w:r>
      <w:r>
        <w:ptab w:relativeTo="margin" w:alignment="right" w:leader="dot"/>
      </w:r>
      <w:r>
        <w:t>4</w:t>
      </w:r>
    </w:p>
    <w:p w14:paraId="6C098342" w14:textId="77777777" w:rsidR="00CF21A4" w:rsidRDefault="00000000">
      <w:pPr>
        <w:spacing w:after="60"/>
      </w:pPr>
      <w:r>
        <w:t>2. The AI Landscape We Are Betting On</w:t>
      </w:r>
      <w:r>
        <w:ptab w:relativeTo="margin" w:alignment="right" w:leader="dot"/>
      </w:r>
      <w:r>
        <w:t>6</w:t>
      </w:r>
    </w:p>
    <w:p w14:paraId="43FD59B0" w14:textId="77777777" w:rsidR="00CF21A4" w:rsidRDefault="00000000">
      <w:pPr>
        <w:spacing w:after="60"/>
        <w:ind w:left="360"/>
      </w:pPr>
      <w:r>
        <w:t>2.1 A four-layer stack is emerging</w:t>
      </w:r>
      <w:r>
        <w:ptab w:relativeTo="margin" w:alignment="right" w:leader="dot"/>
      </w:r>
      <w:r>
        <w:t>6</w:t>
      </w:r>
    </w:p>
    <w:p w14:paraId="69667F30" w14:textId="77777777" w:rsidR="00CF21A4" w:rsidRDefault="00000000">
      <w:pPr>
        <w:spacing w:after="60"/>
        <w:ind w:left="360"/>
      </w:pPr>
      <w:r>
        <w:t>2.2 The tools we have chosen and why</w:t>
      </w:r>
      <w:r>
        <w:ptab w:relativeTo="margin" w:alignment="right" w:leader="dot"/>
      </w:r>
      <w:r>
        <w:t>6</w:t>
      </w:r>
    </w:p>
    <w:p w14:paraId="1C2A54DE" w14:textId="77777777" w:rsidR="00CF21A4" w:rsidRDefault="00000000">
      <w:pPr>
        <w:spacing w:after="60"/>
      </w:pPr>
      <w:r>
        <w:t>3. Our Technical Architecture</w:t>
      </w:r>
      <w:r>
        <w:ptab w:relativeTo="margin" w:alignment="right" w:leader="dot"/>
      </w:r>
      <w:r>
        <w:t>8</w:t>
      </w:r>
    </w:p>
    <w:p w14:paraId="1F0688DD" w14:textId="77777777" w:rsidR="00CF21A4" w:rsidRDefault="00000000">
      <w:pPr>
        <w:spacing w:after="60"/>
        <w:ind w:left="360"/>
      </w:pPr>
      <w:r>
        <w:t>3.1 Architecture in one paragraph</w:t>
      </w:r>
      <w:r>
        <w:ptab w:relativeTo="margin" w:alignment="right" w:leader="dot"/>
      </w:r>
      <w:r>
        <w:t>8</w:t>
      </w:r>
    </w:p>
    <w:p w14:paraId="58BD534F" w14:textId="77777777" w:rsidR="00CF21A4" w:rsidRDefault="00000000">
      <w:pPr>
        <w:spacing w:after="60"/>
        <w:ind w:left="360"/>
      </w:pPr>
      <w:r>
        <w:t>3.2 The MCP library as a long-lived asset</w:t>
      </w:r>
      <w:r>
        <w:ptab w:relativeTo="margin" w:alignment="right" w:leader="dot"/>
      </w:r>
      <w:r>
        <w:t>8</w:t>
      </w:r>
    </w:p>
    <w:p w14:paraId="7231F369" w14:textId="77777777" w:rsidR="00CF21A4" w:rsidRDefault="00000000">
      <w:pPr>
        <w:spacing w:after="60"/>
        <w:ind w:left="360"/>
      </w:pPr>
      <w:r>
        <w:t>3.3 Agent runtime choices</w:t>
      </w:r>
      <w:r>
        <w:ptab w:relativeTo="margin" w:alignment="right" w:leader="dot"/>
      </w:r>
      <w:r>
        <w:t>8</w:t>
      </w:r>
    </w:p>
    <w:p w14:paraId="0153EAB3" w14:textId="77777777" w:rsidR="00CF21A4" w:rsidRDefault="00000000">
      <w:pPr>
        <w:spacing w:after="60"/>
        <w:ind w:left="360"/>
      </w:pPr>
      <w:r>
        <w:t>3.4 Orchestration and the human control plane</w:t>
      </w:r>
      <w:r>
        <w:ptab w:relativeTo="margin" w:alignment="right" w:leader="dot"/>
      </w:r>
      <w:r>
        <w:t>8</w:t>
      </w:r>
    </w:p>
    <w:p w14:paraId="0B5F898E" w14:textId="77777777" w:rsidR="00CF21A4" w:rsidRDefault="00000000">
      <w:pPr>
        <w:spacing w:after="60"/>
      </w:pPr>
      <w:r>
        <w:t>4. Security and Governance Posture</w:t>
      </w:r>
      <w:r>
        <w:ptab w:relativeTo="margin" w:alignment="right" w:leader="dot"/>
      </w:r>
      <w:r>
        <w:t>10</w:t>
      </w:r>
    </w:p>
    <w:p w14:paraId="6B2CCCB9" w14:textId="77777777" w:rsidR="00CF21A4" w:rsidRDefault="00000000">
      <w:pPr>
        <w:spacing w:after="60"/>
        <w:ind w:left="360"/>
      </w:pPr>
      <w:r>
        <w:t>4.1 The threat model has changed</w:t>
      </w:r>
      <w:r>
        <w:ptab w:relativeTo="margin" w:alignment="right" w:leader="dot"/>
      </w:r>
      <w:r>
        <w:t>10</w:t>
      </w:r>
    </w:p>
    <w:p w14:paraId="30B6CD22" w14:textId="77777777" w:rsidR="00CF21A4" w:rsidRDefault="00000000">
      <w:pPr>
        <w:spacing w:after="60"/>
        <w:ind w:left="360"/>
      </w:pPr>
      <w:r>
        <w:t xml:space="preserve">4.2 Triple-gate </w:t>
      </w:r>
      <w:proofErr w:type="spellStart"/>
      <w:r>
        <w:t>defence</w:t>
      </w:r>
      <w:proofErr w:type="spellEnd"/>
      <w:r>
        <w:ptab w:relativeTo="margin" w:alignment="right" w:leader="dot"/>
      </w:r>
      <w:r>
        <w:t>10</w:t>
      </w:r>
    </w:p>
    <w:p w14:paraId="6FE84D11" w14:textId="77777777" w:rsidR="00CF21A4" w:rsidRDefault="00000000">
      <w:pPr>
        <w:spacing w:after="60"/>
        <w:ind w:left="360"/>
      </w:pPr>
      <w:r>
        <w:t>4.3 Compliance frameworks we align to</w:t>
      </w:r>
      <w:r>
        <w:ptab w:relativeTo="margin" w:alignment="right" w:leader="dot"/>
      </w:r>
      <w:r>
        <w:t>10</w:t>
      </w:r>
    </w:p>
    <w:p w14:paraId="3DE17C76" w14:textId="77777777" w:rsidR="00CF21A4" w:rsidRDefault="00000000">
      <w:pPr>
        <w:spacing w:after="60"/>
        <w:ind w:left="360"/>
      </w:pPr>
      <w:r>
        <w:t>4.4 Data sovereignty and residency</w:t>
      </w:r>
      <w:r>
        <w:ptab w:relativeTo="margin" w:alignment="right" w:leader="dot"/>
      </w:r>
      <w:r>
        <w:t>10</w:t>
      </w:r>
    </w:p>
    <w:p w14:paraId="0E709B4E" w14:textId="77777777" w:rsidR="00CF21A4" w:rsidRDefault="00000000">
      <w:pPr>
        <w:spacing w:after="60"/>
      </w:pPr>
      <w:r>
        <w:t>5. Capability Roadmap</w:t>
      </w:r>
      <w:r>
        <w:ptab w:relativeTo="margin" w:alignment="right" w:leader="dot"/>
      </w:r>
      <w:r>
        <w:t>12</w:t>
      </w:r>
    </w:p>
    <w:p w14:paraId="1102AA0C" w14:textId="77777777" w:rsidR="00CF21A4" w:rsidRDefault="00000000">
      <w:pPr>
        <w:spacing w:after="60"/>
        <w:ind w:left="360"/>
      </w:pPr>
      <w:r>
        <w:t>5.1 Phase 0 commitments (the next ninety days)</w:t>
      </w:r>
      <w:r>
        <w:ptab w:relativeTo="margin" w:alignment="right" w:leader="dot"/>
      </w:r>
      <w:r>
        <w:t>12</w:t>
      </w:r>
    </w:p>
    <w:p w14:paraId="2E42565E" w14:textId="77777777" w:rsidR="00CF21A4" w:rsidRDefault="00000000">
      <w:pPr>
        <w:spacing w:after="60"/>
      </w:pPr>
      <w:r>
        <w:t>6. Operating Model and People</w:t>
      </w:r>
      <w:r>
        <w:ptab w:relativeTo="margin" w:alignment="right" w:leader="dot"/>
      </w:r>
      <w:r>
        <w:t>13</w:t>
      </w:r>
    </w:p>
    <w:p w14:paraId="41F81CFB" w14:textId="77777777" w:rsidR="00CF21A4" w:rsidRDefault="00000000">
      <w:pPr>
        <w:spacing w:after="60"/>
        <w:ind w:left="360"/>
      </w:pPr>
      <w:r>
        <w:t xml:space="preserve">6.1 How we </w:t>
      </w:r>
      <w:proofErr w:type="spellStart"/>
      <w:r>
        <w:t>organise</w:t>
      </w:r>
      <w:proofErr w:type="spellEnd"/>
      <w:r>
        <w:ptab w:relativeTo="margin" w:alignment="right" w:leader="dot"/>
      </w:r>
      <w:r>
        <w:t>13</w:t>
      </w:r>
    </w:p>
    <w:p w14:paraId="667C91F0" w14:textId="77777777" w:rsidR="00CF21A4" w:rsidRDefault="00000000">
      <w:pPr>
        <w:spacing w:after="60"/>
        <w:ind w:left="360"/>
      </w:pPr>
      <w:r>
        <w:t>6.2 Roles we will need</w:t>
      </w:r>
      <w:r>
        <w:ptab w:relativeTo="margin" w:alignment="right" w:leader="dot"/>
      </w:r>
      <w:r>
        <w:t>13</w:t>
      </w:r>
    </w:p>
    <w:p w14:paraId="53F78C56" w14:textId="77777777" w:rsidR="00CF21A4" w:rsidRDefault="00000000">
      <w:pPr>
        <w:spacing w:after="60"/>
        <w:ind w:left="360"/>
      </w:pPr>
      <w:r>
        <w:t>6.3 Ways of working</w:t>
      </w:r>
      <w:r>
        <w:ptab w:relativeTo="margin" w:alignment="right" w:leader="dot"/>
      </w:r>
      <w:r>
        <w:t>13</w:t>
      </w:r>
    </w:p>
    <w:p w14:paraId="5ACFAB83" w14:textId="77777777" w:rsidR="00CF21A4" w:rsidRDefault="00000000">
      <w:pPr>
        <w:spacing w:after="60"/>
        <w:ind w:left="360"/>
      </w:pPr>
      <w:r>
        <w:t>6.4 Upskilling our people</w:t>
      </w:r>
      <w:r>
        <w:ptab w:relativeTo="margin" w:alignment="right" w:leader="dot"/>
      </w:r>
      <w:r>
        <w:t>13</w:t>
      </w:r>
    </w:p>
    <w:p w14:paraId="6BF3AC7C" w14:textId="77777777" w:rsidR="00CF21A4" w:rsidRDefault="00000000">
      <w:pPr>
        <w:spacing w:after="60"/>
      </w:pPr>
      <w:r>
        <w:t>7. The Shareholder Value Narrative</w:t>
      </w:r>
      <w:r>
        <w:ptab w:relativeTo="margin" w:alignment="right" w:leader="dot"/>
      </w:r>
      <w:r>
        <w:t>14</w:t>
      </w:r>
    </w:p>
    <w:p w14:paraId="7E2D0076" w14:textId="77777777" w:rsidR="00CF21A4" w:rsidRDefault="00000000">
      <w:pPr>
        <w:spacing w:after="60"/>
        <w:ind w:left="360"/>
      </w:pPr>
      <w:r>
        <w:t>7.1 How we will talk about value</w:t>
      </w:r>
      <w:r>
        <w:ptab w:relativeTo="margin" w:alignment="right" w:leader="dot"/>
      </w:r>
      <w:r>
        <w:t>14</w:t>
      </w:r>
    </w:p>
    <w:p w14:paraId="1F77B2F8" w14:textId="77777777" w:rsidR="00CF21A4" w:rsidRDefault="00000000">
      <w:pPr>
        <w:spacing w:after="60"/>
        <w:ind w:left="360"/>
      </w:pPr>
      <w:r>
        <w:t>7.2 The KPIs we commit to</w:t>
      </w:r>
      <w:r>
        <w:ptab w:relativeTo="margin" w:alignment="right" w:leader="dot"/>
      </w:r>
      <w:r>
        <w:t>14</w:t>
      </w:r>
    </w:p>
    <w:p w14:paraId="4E19908F" w14:textId="77777777" w:rsidR="00CF21A4" w:rsidRDefault="00000000">
      <w:pPr>
        <w:spacing w:after="60"/>
        <w:ind w:left="360"/>
      </w:pPr>
      <w:r>
        <w:t>7.3 The one-line story for shareholders</w:t>
      </w:r>
      <w:r>
        <w:ptab w:relativeTo="margin" w:alignment="right" w:leader="dot"/>
      </w:r>
      <w:r>
        <w:t>14</w:t>
      </w:r>
    </w:p>
    <w:p w14:paraId="45CBAE31" w14:textId="77777777" w:rsidR="00CF21A4" w:rsidRDefault="00000000">
      <w:pPr>
        <w:spacing w:after="60"/>
      </w:pPr>
      <w:r>
        <w:t>8. Risks and Mitigations</w:t>
      </w:r>
      <w:r>
        <w:ptab w:relativeTo="margin" w:alignment="right" w:leader="dot"/>
      </w:r>
      <w:r>
        <w:t>15</w:t>
      </w:r>
    </w:p>
    <w:p w14:paraId="31E66B63" w14:textId="77777777" w:rsidR="00CF21A4" w:rsidRDefault="00000000">
      <w:pPr>
        <w:spacing w:after="60"/>
      </w:pPr>
      <w:r>
        <w:t>Appendix A. Glossary</w:t>
      </w:r>
      <w:r>
        <w:ptab w:relativeTo="margin" w:alignment="right" w:leader="dot"/>
      </w:r>
      <w:r>
        <w:t>16</w:t>
      </w:r>
    </w:p>
    <w:p w14:paraId="6FB289C8" w14:textId="77777777" w:rsidR="00CF21A4" w:rsidRDefault="00000000">
      <w:pPr>
        <w:spacing w:after="60"/>
      </w:pPr>
      <w:r>
        <w:t>Appendix B. Source References</w:t>
      </w:r>
      <w:r>
        <w:ptab w:relativeTo="margin" w:alignment="right" w:leader="dot"/>
      </w:r>
      <w:r>
        <w:t>17</w:t>
      </w:r>
    </w:p>
    <w:p w14:paraId="2F5CAF2D" w14:textId="77777777" w:rsidR="00CF21A4" w:rsidRDefault="00000000">
      <w:pPr>
        <w:pStyle w:val="Heading1"/>
        <w:pageBreakBefore/>
        <w:spacing w:before="0"/>
      </w:pPr>
      <w:r>
        <w:lastRenderedPageBreak/>
        <w:t>Executive Summary</w:t>
      </w:r>
    </w:p>
    <w:p w14:paraId="11B90C05" w14:textId="77777777" w:rsidR="00CF21A4" w:rsidRDefault="00000000">
      <w:pPr>
        <w:spacing w:after="120"/>
      </w:pPr>
      <w:r>
        <w:t>This document sets out how we will build, govern, and benefit from artificial intelligence over the next thirty-six months. It is written to be understood by our shareholders in ten minutes and executed by our teams over three years. The goal is a single, coherent position: one vision, one architecture, one governance model, and one way of talking about the work.</w:t>
      </w:r>
    </w:p>
    <w:p w14:paraId="030ED7EA" w14:textId="77777777" w:rsidR="00CF21A4" w:rsidRDefault="00000000">
      <w:pPr>
        <w:spacing w:after="120"/>
      </w:pPr>
      <w:r>
        <w:t>Our premise is simple. The generation of AI we are now deploying is no longer about chatbots answering questions; it is about autonomous agents getting work done. Independent forecasts from Gartner put task-specific AI agents into forty percent of enterprise applications by the end of 2026, up from under five percent a year earlier. The Model Context Protocol — the emerging open standard that lets agents safely connect to enterprise systems — has already crossed ninety-seven million monthly SDK downloads and has official backing from Anthropic, OpenAI, Google, and Microsoft.</w:t>
      </w:r>
    </w:p>
    <w:p w14:paraId="6B7DD30B" w14:textId="77777777" w:rsidR="00CF21A4" w:rsidRDefault="00000000">
      <w:pPr>
        <w:spacing w:after="120"/>
      </w:pPr>
      <w:r>
        <w:t xml:space="preserve">The risk of doing nothing is not that we miss a productivity gain. It is that within eighteen months our competitors are operating with a different unit economics, and our project managers, analysts, and operations staff are competing against </w:t>
      </w:r>
      <w:proofErr w:type="spellStart"/>
      <w:r>
        <w:t>organisations</w:t>
      </w:r>
      <w:proofErr w:type="spellEnd"/>
      <w:r>
        <w:t xml:space="preserve"> whose agents run continuously, cost a fraction per task, and absorb a compounding body of institutional knowledge.</w:t>
      </w:r>
    </w:p>
    <w:p w14:paraId="55163F30" w14:textId="77777777" w:rsidR="00CF21A4" w:rsidRDefault="00000000">
      <w:pPr>
        <w:spacing w:after="120"/>
      </w:pPr>
      <w:r>
        <w:t>Our strategy has five pillars. We will build on open protocols, not proprietary lock-in. We will invest in a reusable library of secure connectors (our MCP library) as a long-lived asset. We will treat every autonomous agent as an employee that needs a job description, a manager, a budget, and an audit trail. We will make security and governance a first-class design requirement, not a post-hoc layer. And we will measure value in outcomes our shareholders already understand — gross margin, cycle time, quality, and capital efficiency — not model benchmarks.</w:t>
      </w:r>
    </w:p>
    <w:p w14:paraId="5182FE4F" w14:textId="77777777" w:rsidR="00CF21A4" w:rsidRDefault="00000000">
      <w:pPr>
        <w:spacing w:after="120"/>
      </w:pPr>
      <w:r>
        <w:t>The investment envelope described here is deliberately staged: a small, reversible Phase 0 over the next ninety days to establish foundations, a bounded pilot phase through the end of the financial year, and a scale phase gated on measurable returns. At no point are we betting the company on a single vendor, model, or framework. The architecture is designed so that each layer can be replaced without rewriting the others — which is the only credible way to build for a future we cannot yet see.</w:t>
      </w:r>
    </w:p>
    <w:p w14:paraId="29630FCA" w14:textId="77777777" w:rsidR="00CF21A4" w:rsidRDefault="00000000">
      <w:pPr>
        <w:pStyle w:val="Heading1"/>
        <w:pageBreakBefore/>
        <w:spacing w:before="0"/>
      </w:pPr>
      <w:r>
        <w:lastRenderedPageBreak/>
        <w:t>1. Strategic Context</w:t>
      </w:r>
    </w:p>
    <w:p w14:paraId="58619238" w14:textId="77777777" w:rsidR="00CF21A4" w:rsidRDefault="00000000">
      <w:pPr>
        <w:pStyle w:val="Heading2"/>
      </w:pPr>
      <w:r>
        <w:t>1.1 Why AI, why now</w:t>
      </w:r>
    </w:p>
    <w:p w14:paraId="32336661" w14:textId="77777777" w:rsidR="00CF21A4" w:rsidRDefault="00000000">
      <w:pPr>
        <w:spacing w:after="120"/>
      </w:pPr>
      <w:r>
        <w:t xml:space="preserve">Three forces have combined in the last eighteen months to make an enterprise AI strategy unavoidable. First, model capability has crossed a threshold where agents can now plan, use tools, and recover from errors well enough to complete real knowledge work end-to-end. Second, the emergence of the Model Context Protocol has solved the integration problem that previously made every AI project a bespoke engineering effort; standard connectors can now be built once and reused across models. Third, open-source runtimes such as </w:t>
      </w:r>
      <w:proofErr w:type="spellStart"/>
      <w:r>
        <w:t>OpenClaw</w:t>
      </w:r>
      <w:proofErr w:type="spellEnd"/>
      <w:r>
        <w:t xml:space="preserve"> and orchestration frameworks such as Paperclip have reduced the code required to deploy a useful agent from hundreds of lines of Python to a configuration file and a persona document.</w:t>
      </w:r>
    </w:p>
    <w:p w14:paraId="78EB70A0" w14:textId="77777777" w:rsidR="00CF21A4" w:rsidRDefault="00000000">
      <w:pPr>
        <w:spacing w:after="120"/>
      </w:pPr>
      <w:r>
        <w:t xml:space="preserve">The consequence for a single-industry operating company is that the barrier to entry has collapsed. What was previously a capability reserved for </w:t>
      </w:r>
      <w:proofErr w:type="spellStart"/>
      <w:r>
        <w:t>hyperscalers</w:t>
      </w:r>
      <w:proofErr w:type="spellEnd"/>
      <w:r>
        <w:t xml:space="preserve"> is now installable with a single command. That </w:t>
      </w:r>
      <w:proofErr w:type="spellStart"/>
      <w:r>
        <w:t>democratisation</w:t>
      </w:r>
      <w:proofErr w:type="spellEnd"/>
      <w:r>
        <w:t xml:space="preserve"> cuts both ways: our advantage no longer comes from having AI at all, but from the quality of our judgement about where to apply it, how we govern it, and how we capture the institutional knowledge that it operates on.</w:t>
      </w:r>
    </w:p>
    <w:p w14:paraId="7B4C9EB6" w14:textId="77777777" w:rsidR="00CF21A4" w:rsidRDefault="00000000">
      <w:pPr>
        <w:pStyle w:val="Heading2"/>
      </w:pPr>
      <w:r>
        <w:t>1.2 Our vision</w:t>
      </w:r>
    </w:p>
    <w:p w14:paraId="45719E3C" w14:textId="77777777" w:rsidR="00CF21A4" w:rsidRDefault="00000000">
      <w:pPr>
        <w:spacing w:after="120"/>
      </w:pPr>
      <w:r>
        <w:t xml:space="preserve">Within thirty-six months, our </w:t>
      </w:r>
      <w:proofErr w:type="spellStart"/>
      <w:r>
        <w:t>organisation</w:t>
      </w:r>
      <w:proofErr w:type="spellEnd"/>
      <w:r>
        <w:t xml:space="preserve"> will operate with a hybrid human-and-agent workforce in which every recurring knowledge process has a defined AI participant, every agent has a named human accountable for its work, and every interaction with a customer, supplier, or regulator is supported by an auditable trail of reasoning and evidence. Our people will spend </w:t>
      </w:r>
      <w:proofErr w:type="gramStart"/>
      <w:r>
        <w:t>the majority of</w:t>
      </w:r>
      <w:proofErr w:type="gramEnd"/>
      <w:r>
        <w:t xml:space="preserve"> their time on judgment, relationships, and craft — not coordination and paperwork.</w:t>
      </w:r>
    </w:p>
    <w:p w14:paraId="32D02FDA" w14:textId="77777777" w:rsidR="00CF21A4" w:rsidRDefault="00000000">
      <w:pPr>
        <w:spacing w:after="120"/>
      </w:pPr>
      <w:r>
        <w:t>We will achieve this not by buying a single platform, but by assembling a deliberately modular stack of open protocols, open runtimes, and governance infrastructure that we control. The test of our strategy is simple: if any single vendor in the stack were to raise prices ten-fold or exit the market tomorrow, we could replace them within a quarter without losing accumulated institutional value.</w:t>
      </w:r>
    </w:p>
    <w:p w14:paraId="77C87FAE" w14:textId="77777777" w:rsidR="00CF21A4" w:rsidRDefault="00000000">
      <w:pPr>
        <w:pStyle w:val="Heading2"/>
      </w:pPr>
      <w:r>
        <w:t>1.3 Guiding principles</w:t>
      </w:r>
    </w:p>
    <w:p w14:paraId="61D72CF8" w14:textId="77777777" w:rsidR="00CF21A4" w:rsidRDefault="00000000">
      <w:pPr>
        <w:spacing w:after="120"/>
      </w:pPr>
      <w:r>
        <w:t xml:space="preserve">These five principles are the commitments that every technical, </w:t>
      </w:r>
      <w:proofErr w:type="spellStart"/>
      <w:r>
        <w:t>organisational</w:t>
      </w:r>
      <w:proofErr w:type="spellEnd"/>
      <w:r>
        <w:t>, and commercial decision about AI must be checked against. They exist so that the strategy survives when its authors are not in the 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F21A4" w14:paraId="01F90C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16E5228D" w14:textId="77777777" w:rsidR="00CF21A4" w:rsidRDefault="00000000">
            <w:r>
              <w:rPr>
                <w:b/>
                <w:bCs/>
              </w:rPr>
              <w:t>Open over closed</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6B49BF" w14:textId="77777777" w:rsidR="00CF21A4" w:rsidRDefault="00000000">
            <w:r>
              <w:t>We prefer open standards (MCP) and open-source runtimes (</w:t>
            </w:r>
            <w:proofErr w:type="spellStart"/>
            <w:r>
              <w:t>OpenClaw</w:t>
            </w:r>
            <w:proofErr w:type="spellEnd"/>
            <w:r>
              <w:t xml:space="preserve">, </w:t>
            </w:r>
            <w:proofErr w:type="spellStart"/>
            <w:r>
              <w:t>NemoClaw</w:t>
            </w:r>
            <w:proofErr w:type="spellEnd"/>
            <w:r>
              <w:t>, Paperclip) for the layers where switching cost matters. We pay for proprietary models where they win on capability per dollar, but our data, workflows, and agent personas remain portable.</w:t>
            </w:r>
          </w:p>
        </w:tc>
      </w:tr>
      <w:tr w:rsidR="00CF21A4" w14:paraId="7595A8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4A4EB105" w14:textId="77777777" w:rsidR="00CF21A4" w:rsidRDefault="00000000">
            <w:r>
              <w:rPr>
                <w:b/>
                <w:bCs/>
              </w:rPr>
              <w:t>Agents are employees</w:t>
            </w:r>
          </w:p>
        </w:tc>
        <w:tc>
          <w:tcPr>
            <w:tcW w:w="67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47E9F62B" w14:textId="77777777" w:rsidR="00CF21A4" w:rsidRDefault="00000000">
            <w:r>
              <w:t>Every autonomous agent has a named human manager, a written job description, a defined budget, and an annual review. An agent that no human can describe the purpose of is decommissioned.</w:t>
            </w:r>
          </w:p>
        </w:tc>
      </w:tr>
      <w:tr w:rsidR="00CF21A4" w14:paraId="2BAC69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097EC673" w14:textId="77777777" w:rsidR="00CF21A4" w:rsidRDefault="00000000">
            <w:r>
              <w:rPr>
                <w:b/>
                <w:bCs/>
              </w:rPr>
              <w:t>Security by design</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8FD35C" w14:textId="77777777" w:rsidR="00CF21A4" w:rsidRDefault="00000000">
            <w:r>
              <w:t xml:space="preserve">No agent ships without prompt-injection </w:t>
            </w:r>
            <w:proofErr w:type="spellStart"/>
            <w:r>
              <w:t>defence</w:t>
            </w:r>
            <w:proofErr w:type="spellEnd"/>
            <w:r>
              <w:t xml:space="preserve"> at input, tool </w:t>
            </w:r>
            <w:proofErr w:type="spellStart"/>
            <w:r>
              <w:t>authorisation</w:t>
            </w:r>
            <w:proofErr w:type="spellEnd"/>
            <w:r>
              <w:t xml:space="preserve"> at the MCP layer, and audit logging at the system boundary. Governance is designed in, not bolted on.</w:t>
            </w:r>
          </w:p>
        </w:tc>
      </w:tr>
      <w:tr w:rsidR="00CF21A4" w14:paraId="7C7E0B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1052A858" w14:textId="77777777" w:rsidR="00CF21A4" w:rsidRDefault="00000000">
            <w:r>
              <w:rPr>
                <w:b/>
                <w:bCs/>
              </w:rPr>
              <w:lastRenderedPageBreak/>
              <w:t>Measure outcomes, not models</w:t>
            </w:r>
          </w:p>
        </w:tc>
        <w:tc>
          <w:tcPr>
            <w:tcW w:w="67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4E10FB1B" w14:textId="77777777" w:rsidR="00CF21A4" w:rsidRDefault="00000000">
            <w:r>
              <w:t>Success is reported in the language of the business: gross margin, cycle time, rework rate, customer NPS, employee engagement. Model benchmarks are inputs to engineering decisions, not outputs to shareholders.</w:t>
            </w:r>
          </w:p>
        </w:tc>
      </w:tr>
      <w:tr w:rsidR="00CF21A4" w14:paraId="6B6F38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0A7B0689" w14:textId="77777777" w:rsidR="00CF21A4" w:rsidRDefault="00000000">
            <w:r>
              <w:rPr>
                <w:b/>
                <w:bCs/>
              </w:rPr>
              <w:t>Reversible bets</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B65F35" w14:textId="77777777" w:rsidR="00CF21A4" w:rsidRDefault="00000000">
            <w:r>
              <w:t>Every layer of the architecture must be replaceable within one quarter. We never commit to a tool whose removal would require rebuilding the stack above it.</w:t>
            </w:r>
          </w:p>
        </w:tc>
      </w:tr>
    </w:tbl>
    <w:p w14:paraId="24E644FE" w14:textId="77777777" w:rsidR="00CF21A4" w:rsidRDefault="00CF21A4">
      <w:pPr>
        <w:spacing w:after="120"/>
      </w:pPr>
    </w:p>
    <w:p w14:paraId="30F186BC" w14:textId="77777777" w:rsidR="00CF21A4" w:rsidRDefault="00000000">
      <w:pPr>
        <w:pStyle w:val="Heading1"/>
        <w:pageBreakBefore/>
        <w:spacing w:before="0"/>
      </w:pPr>
      <w:r>
        <w:lastRenderedPageBreak/>
        <w:t>2. The AI Landscape We Are Betting On</w:t>
      </w:r>
    </w:p>
    <w:p w14:paraId="3CCAB88F" w14:textId="77777777" w:rsidR="00CF21A4" w:rsidRDefault="00000000">
      <w:pPr>
        <w:pStyle w:val="Heading2"/>
      </w:pPr>
      <w:r>
        <w:t>2.1 A four-layer stack is emerging</w:t>
      </w:r>
    </w:p>
    <w:p w14:paraId="48170CC2" w14:textId="77777777" w:rsidR="00CF21A4" w:rsidRDefault="00000000">
      <w:pPr>
        <w:spacing w:after="120"/>
      </w:pPr>
      <w:r>
        <w:t xml:space="preserve">The enterprise AI market has, over the last twelve months, settled into a </w:t>
      </w:r>
      <w:proofErr w:type="spellStart"/>
      <w:r>
        <w:t>recognisable</w:t>
      </w:r>
      <w:proofErr w:type="spellEnd"/>
      <w:r>
        <w:t xml:space="preserve"> four-layer shape. Each layer is now competitive, each has viable open options, and — critically for our strategy — each has </w:t>
      </w:r>
      <w:proofErr w:type="spellStart"/>
      <w:r>
        <w:t>standardised</w:t>
      </w:r>
      <w:proofErr w:type="spellEnd"/>
      <w:r>
        <w:t xml:space="preserve"> interfaces to the layers above and below. This is what makes a modular architecture realistic rather than aspirational.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160"/>
      </w:tblGrid>
      <w:tr w:rsidR="00CF21A4" w14:paraId="03A9D8E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A5F"/>
            <w:tcMar>
              <w:top w:w="100" w:type="dxa"/>
              <w:left w:w="140" w:type="dxa"/>
              <w:bottom w:w="100" w:type="dxa"/>
              <w:right w:w="140" w:type="dxa"/>
            </w:tcMar>
          </w:tcPr>
          <w:p w14:paraId="37513AE7" w14:textId="77777777" w:rsidR="00CF21A4" w:rsidRDefault="00000000">
            <w:r>
              <w:rPr>
                <w:b/>
                <w:bCs/>
                <w:color w:val="FFFFFF"/>
              </w:rPr>
              <w:t>Layer</w:t>
            </w:r>
          </w:p>
        </w:tc>
        <w:tc>
          <w:tcPr>
            <w:tcW w:w="3400" w:type="dxa"/>
            <w:tcBorders>
              <w:top w:val="single" w:sz="1" w:space="0" w:color="CCCCCC"/>
              <w:left w:val="single" w:sz="1" w:space="0" w:color="CCCCCC"/>
              <w:bottom w:val="single" w:sz="1" w:space="0" w:color="CCCCCC"/>
              <w:right w:val="single" w:sz="1" w:space="0" w:color="CCCCCC"/>
            </w:tcBorders>
            <w:shd w:val="clear" w:color="auto" w:fill="1F3A5F"/>
            <w:tcMar>
              <w:top w:w="100" w:type="dxa"/>
              <w:left w:w="140" w:type="dxa"/>
              <w:bottom w:w="100" w:type="dxa"/>
              <w:right w:w="140" w:type="dxa"/>
            </w:tcMar>
          </w:tcPr>
          <w:p w14:paraId="424D943F" w14:textId="77777777" w:rsidR="00CF21A4" w:rsidRDefault="00000000">
            <w:r>
              <w:rPr>
                <w:b/>
                <w:bCs/>
                <w:color w:val="FFFFFF"/>
              </w:rPr>
              <w:t>What it does</w:t>
            </w:r>
          </w:p>
        </w:tc>
        <w:tc>
          <w:tcPr>
            <w:tcW w:w="4160" w:type="dxa"/>
            <w:tcBorders>
              <w:top w:val="single" w:sz="1" w:space="0" w:color="CCCCCC"/>
              <w:left w:val="single" w:sz="1" w:space="0" w:color="CCCCCC"/>
              <w:bottom w:val="single" w:sz="1" w:space="0" w:color="CCCCCC"/>
              <w:right w:val="single" w:sz="1" w:space="0" w:color="CCCCCC"/>
            </w:tcBorders>
            <w:shd w:val="clear" w:color="auto" w:fill="1F3A5F"/>
            <w:tcMar>
              <w:top w:w="100" w:type="dxa"/>
              <w:left w:w="140" w:type="dxa"/>
              <w:bottom w:w="100" w:type="dxa"/>
              <w:right w:w="140" w:type="dxa"/>
            </w:tcMar>
          </w:tcPr>
          <w:p w14:paraId="353D170B" w14:textId="77777777" w:rsidR="00CF21A4" w:rsidRDefault="00000000">
            <w:r>
              <w:rPr>
                <w:b/>
                <w:bCs/>
                <w:color w:val="FFFFFF"/>
              </w:rPr>
              <w:t>What we plan to use</w:t>
            </w:r>
          </w:p>
        </w:tc>
      </w:tr>
      <w:tr w:rsidR="00CF21A4" w14:paraId="1E7631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5F258C7" w14:textId="77777777" w:rsidR="00CF21A4" w:rsidRDefault="00000000">
            <w:r>
              <w:t>Model layer</w:t>
            </w:r>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D449BBD" w14:textId="77777777" w:rsidR="00CF21A4" w:rsidRDefault="00000000">
            <w:r>
              <w:t>The underlying LLMs that do reasoning, generation, and tool selection.</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178C82" w14:textId="77777777" w:rsidR="00CF21A4" w:rsidRDefault="00000000">
            <w:r>
              <w:t xml:space="preserve">A mixed portfolio: Claude and GPT-class models for general tasks, NVIDIA </w:t>
            </w:r>
            <w:proofErr w:type="spellStart"/>
            <w:r>
              <w:t>Nemotron</w:t>
            </w:r>
            <w:proofErr w:type="spellEnd"/>
            <w:r>
              <w:t xml:space="preserve"> for private local inference, open-weight models for narrow fine-tuned cases.</w:t>
            </w:r>
          </w:p>
        </w:tc>
      </w:tr>
      <w:tr w:rsidR="00CF21A4" w14:paraId="11789E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3761E98E" w14:textId="77777777" w:rsidR="00CF21A4" w:rsidRDefault="00000000">
            <w:r>
              <w:t>Data and tool plane</w:t>
            </w:r>
          </w:p>
        </w:tc>
        <w:tc>
          <w:tcPr>
            <w:tcW w:w="34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4249C321" w14:textId="77777777" w:rsidR="00CF21A4" w:rsidRDefault="00000000">
            <w:r>
              <w:t>The protocol and set of servers that expose our systems, files, and APIs to any model.</w:t>
            </w:r>
          </w:p>
        </w:tc>
        <w:tc>
          <w:tcPr>
            <w:tcW w:w="41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22CF9AF6" w14:textId="77777777" w:rsidR="00CF21A4" w:rsidRDefault="00000000">
            <w:r>
              <w:t>Model Context Protocol (MCP) as the standard; a growing internal MCP library we own and maintain.</w:t>
            </w:r>
          </w:p>
        </w:tc>
      </w:tr>
      <w:tr w:rsidR="00CF21A4" w14:paraId="614FF2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B5C7ACE" w14:textId="77777777" w:rsidR="00CF21A4" w:rsidRDefault="00000000">
            <w:r>
              <w:t>Agent runtime</w:t>
            </w:r>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E02474" w14:textId="77777777" w:rsidR="00CF21A4" w:rsidRDefault="00000000">
            <w:r>
              <w:t>The process that gives a model identity, memory, tools, and long-running execution.</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2E33409" w14:textId="77777777" w:rsidR="00CF21A4" w:rsidRDefault="00000000">
            <w:proofErr w:type="spellStart"/>
            <w:r>
              <w:t>OpenClaw</w:t>
            </w:r>
            <w:proofErr w:type="spellEnd"/>
            <w:r>
              <w:t xml:space="preserve"> as the default single-agent runtime; </w:t>
            </w:r>
            <w:proofErr w:type="spellStart"/>
            <w:r>
              <w:t>NemoClaw</w:t>
            </w:r>
            <w:proofErr w:type="spellEnd"/>
            <w:r>
              <w:t xml:space="preserve"> for workloads with strict data-sovereignty or offline requirements.</w:t>
            </w:r>
          </w:p>
        </w:tc>
      </w:tr>
      <w:tr w:rsidR="00CF21A4" w14:paraId="5194D4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53075EBB" w14:textId="77777777" w:rsidR="00CF21A4" w:rsidRDefault="00000000">
            <w:r>
              <w:t>Orchestration and governance</w:t>
            </w:r>
          </w:p>
        </w:tc>
        <w:tc>
          <w:tcPr>
            <w:tcW w:w="34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5CCA1EDF" w14:textId="77777777" w:rsidR="00CF21A4" w:rsidRDefault="00000000">
            <w:r>
              <w:t>The control plane that manages multiple agents, budgets, goals, and human approvals.</w:t>
            </w:r>
          </w:p>
        </w:tc>
        <w:tc>
          <w:tcPr>
            <w:tcW w:w="41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510F4347" w14:textId="77777777" w:rsidR="00CF21A4" w:rsidRDefault="00000000">
            <w:r>
              <w:t>Paperclip as the primary orchestrator; internal policy, audit, and approval workflows layered on top.</w:t>
            </w:r>
          </w:p>
        </w:tc>
      </w:tr>
    </w:tbl>
    <w:p w14:paraId="55B0FC65" w14:textId="77777777" w:rsidR="00CF21A4" w:rsidRDefault="00CF21A4">
      <w:pPr>
        <w:spacing w:after="120"/>
      </w:pPr>
    </w:p>
    <w:p w14:paraId="01CF83F7" w14:textId="77777777" w:rsidR="00CF21A4" w:rsidRDefault="00000000">
      <w:pPr>
        <w:pStyle w:val="Heading2"/>
      </w:pPr>
      <w:r>
        <w:t>2.2 The tools we have chosen and why</w:t>
      </w:r>
    </w:p>
    <w:p w14:paraId="110642F8" w14:textId="77777777" w:rsidR="00CF21A4" w:rsidRDefault="00000000">
      <w:pPr>
        <w:pStyle w:val="Heading3"/>
        <w:spacing w:after="100"/>
      </w:pPr>
      <w:r>
        <w:t>Model Context Protocol (MCP)</w:t>
      </w:r>
    </w:p>
    <w:p w14:paraId="3843EC54" w14:textId="77777777" w:rsidR="00CF21A4" w:rsidRDefault="00000000">
      <w:pPr>
        <w:spacing w:after="120"/>
      </w:pPr>
      <w:r>
        <w:t xml:space="preserve">MCP is the open standard originated by Anthropic and now supported across Anthropic, OpenAI, Google, and Microsoft for how models connect to tools, data sources, and enterprise systems. In 2026 it crossed the threshold from interesting experiment to de-facto standard, with ninety-seven million monthly SDK downloads and an enterprise roadmap focused on authentication, audit trails, and gateway </w:t>
      </w:r>
      <w:proofErr w:type="spellStart"/>
      <w:r>
        <w:t>behaviour</w:t>
      </w:r>
      <w:proofErr w:type="spellEnd"/>
      <w:r>
        <w:t>. Our bet on MCP is the single most important technical decision in this document: it is the layer that protects us from model vendor lock-in and that makes our integration work a compounding asset.</w:t>
      </w:r>
    </w:p>
    <w:p w14:paraId="20CE20E5" w14:textId="77777777" w:rsidR="00CF21A4" w:rsidRDefault="00000000">
      <w:pPr>
        <w:pStyle w:val="Heading3"/>
        <w:spacing w:after="100"/>
      </w:pPr>
      <w:proofErr w:type="spellStart"/>
      <w:r>
        <w:t>OpenClaw</w:t>
      </w:r>
      <w:proofErr w:type="spellEnd"/>
    </w:p>
    <w:p w14:paraId="1ED0A485" w14:textId="77777777" w:rsidR="00CF21A4" w:rsidRDefault="00000000">
      <w:pPr>
        <w:spacing w:after="120"/>
      </w:pPr>
      <w:proofErr w:type="spellStart"/>
      <w:r>
        <w:t>OpenClaw</w:t>
      </w:r>
      <w:proofErr w:type="spellEnd"/>
      <w:r>
        <w:t xml:space="preserve"> is the open-source autonomous-agent runtime that emerged from a solo developer effort in late 2025 and has since become the most starred agentic project on GitHub. It treats agent identity, memory, sandboxed tool execution, and access control as first-class concerns, and it does so with radically less code than incumbent frameworks such as </w:t>
      </w:r>
      <w:proofErr w:type="spellStart"/>
      <w:r>
        <w:t>LangChain</w:t>
      </w:r>
      <w:proofErr w:type="spellEnd"/>
      <w:r>
        <w:t xml:space="preserve">. Independent comparisons put the line-count for a production-quality skill at roughly 30–50 lines in </w:t>
      </w:r>
      <w:proofErr w:type="spellStart"/>
      <w:r>
        <w:t>OpenClaw</w:t>
      </w:r>
      <w:proofErr w:type="spellEnd"/>
      <w:r>
        <w:t xml:space="preserve"> versus 200–400 lines across </w:t>
      </w:r>
      <w:r>
        <w:lastRenderedPageBreak/>
        <w:t xml:space="preserve">multiple files in </w:t>
      </w:r>
      <w:proofErr w:type="spellStart"/>
      <w:r>
        <w:t>LangChain</w:t>
      </w:r>
      <w:proofErr w:type="spellEnd"/>
      <w:r>
        <w:t>. That matters because our team's ability to read, modify, and govern our own agents is the bottleneck — not raw capability.</w:t>
      </w:r>
    </w:p>
    <w:p w14:paraId="4544460D" w14:textId="77777777" w:rsidR="00CF21A4" w:rsidRDefault="00000000">
      <w:pPr>
        <w:pStyle w:val="Heading3"/>
        <w:spacing w:after="100"/>
      </w:pPr>
      <w:proofErr w:type="spellStart"/>
      <w:r>
        <w:t>NemoClaw</w:t>
      </w:r>
      <w:proofErr w:type="spellEnd"/>
    </w:p>
    <w:p w14:paraId="6740425A" w14:textId="77777777" w:rsidR="00CF21A4" w:rsidRDefault="00000000">
      <w:pPr>
        <w:spacing w:after="120"/>
      </w:pPr>
      <w:proofErr w:type="spellStart"/>
      <w:r>
        <w:t>NemoClaw</w:t>
      </w:r>
      <w:proofErr w:type="spellEnd"/>
      <w:r>
        <w:t xml:space="preserve"> is NVIDIA's secure, on-premises variant of the </w:t>
      </w:r>
      <w:proofErr w:type="spellStart"/>
      <w:r>
        <w:t>OpenClaw</w:t>
      </w:r>
      <w:proofErr w:type="spellEnd"/>
      <w:r>
        <w:t xml:space="preserve"> runtime, announced at GTC 2026. It adds network and filesystem isolation, real-time policy approval for external access, and fully local inference using NVIDIA </w:t>
      </w:r>
      <w:proofErr w:type="spellStart"/>
      <w:r>
        <w:t>Nemotron</w:t>
      </w:r>
      <w:proofErr w:type="spellEnd"/>
      <w:r>
        <w:t xml:space="preserve"> models. For workloads that touch regulated data, customer-confidential information, or client-owned systems, </w:t>
      </w:r>
      <w:proofErr w:type="spellStart"/>
      <w:r>
        <w:t>NemoClaw</w:t>
      </w:r>
      <w:proofErr w:type="spellEnd"/>
      <w:r>
        <w:t xml:space="preserve"> will be our default deployment target — not because we distrust the cloud, but because some classes of work must be able to prove that no data left the device.</w:t>
      </w:r>
    </w:p>
    <w:p w14:paraId="273E6A89" w14:textId="77777777" w:rsidR="00CF21A4" w:rsidRDefault="00000000">
      <w:pPr>
        <w:pStyle w:val="Heading3"/>
        <w:spacing w:after="100"/>
      </w:pPr>
      <w:r>
        <w:t>Paperclip</w:t>
      </w:r>
    </w:p>
    <w:p w14:paraId="2089DC91" w14:textId="77777777" w:rsidR="00CF21A4" w:rsidRDefault="00000000">
      <w:pPr>
        <w:spacing w:after="120"/>
      </w:pPr>
      <w:r>
        <w:t>Paperclip, launched in March 2026 and now crossing thirty thousand GitHub stars, solves the problem that we will have once we have more than a handful of agents: how to coordinate them, budget them, and govern them as a team. It models a company of agents with an explicit org chart, goals, budgets, and accountability. Worker agents are spawned by managers, managers by a single top-level executive agent; every action is logged, every API-cost is attributed, and every escalation goes to a named human. Paperclip is the control plane we will use to make sure that an agentic workforce does not become an unobservable one.</w:t>
      </w:r>
    </w:p>
    <w:p w14:paraId="63DF7580" w14:textId="77777777" w:rsidR="00CF21A4" w:rsidRDefault="00000000">
      <w:pPr>
        <w:pStyle w:val="Heading3"/>
        <w:spacing w:after="100"/>
      </w:pPr>
      <w:r>
        <w:t xml:space="preserve">Why </w:t>
      </w:r>
      <w:proofErr w:type="gramStart"/>
      <w:r>
        <w:t xml:space="preserve">not only </w:t>
      </w:r>
      <w:proofErr w:type="spellStart"/>
      <w:r>
        <w:t>LangChain</w:t>
      </w:r>
      <w:proofErr w:type="spellEnd"/>
      <w:proofErr w:type="gramEnd"/>
      <w:r>
        <w:t xml:space="preserve">, </w:t>
      </w:r>
      <w:proofErr w:type="spellStart"/>
      <w:r>
        <w:t>AutoGen</w:t>
      </w:r>
      <w:proofErr w:type="spellEnd"/>
      <w:r>
        <w:t xml:space="preserve">, or </w:t>
      </w:r>
      <w:proofErr w:type="spellStart"/>
      <w:r>
        <w:t>CrewAI</w:t>
      </w:r>
      <w:proofErr w:type="spellEnd"/>
      <w:r>
        <w:t>?</w:t>
      </w:r>
    </w:p>
    <w:p w14:paraId="0EAB8CA4" w14:textId="77777777" w:rsidR="00CF21A4" w:rsidRDefault="00000000">
      <w:pPr>
        <w:spacing w:after="120"/>
      </w:pPr>
      <w:r>
        <w:t xml:space="preserve">These frameworks are mature, well-documented, and backed by substantial communities. They remain appropriate for custom Python workloads where engineers want maximum flexibility. However, for our operating model — where we want non-engineers to configure and govern agents, and where code size directly limits who can review them — the </w:t>
      </w:r>
      <w:proofErr w:type="spellStart"/>
      <w:r>
        <w:t>OpenClaw</w:t>
      </w:r>
      <w:proofErr w:type="spellEnd"/>
      <w:r>
        <w:t xml:space="preserve">/Paperclip pairing gives us a dramatically shorter path. We will keep </w:t>
      </w:r>
      <w:proofErr w:type="spellStart"/>
      <w:r>
        <w:t>LangGraph</w:t>
      </w:r>
      <w:proofErr w:type="spellEnd"/>
      <w:r>
        <w:t xml:space="preserve"> in scope as a specialist tool for deep custom reasoning pipelines, but it will not be our default.</w:t>
      </w:r>
    </w:p>
    <w:p w14:paraId="663F1A96" w14:textId="77777777" w:rsidR="00CF21A4" w:rsidRDefault="00000000">
      <w:pPr>
        <w:pStyle w:val="Heading1"/>
        <w:pageBreakBefore/>
        <w:spacing w:before="0"/>
      </w:pPr>
      <w:r>
        <w:lastRenderedPageBreak/>
        <w:t>3. Our Technical Architecture</w:t>
      </w:r>
    </w:p>
    <w:p w14:paraId="1DEBD060" w14:textId="77777777" w:rsidR="00CF21A4" w:rsidRDefault="00000000">
      <w:pPr>
        <w:pStyle w:val="Heading2"/>
      </w:pPr>
      <w:r>
        <w:t>3.1 Architecture in one paragraph</w:t>
      </w:r>
    </w:p>
    <w:p w14:paraId="7AA5AB38" w14:textId="77777777" w:rsidR="00CF21A4" w:rsidRDefault="00000000">
      <w:pPr>
        <w:spacing w:after="120"/>
      </w:pPr>
      <w:r>
        <w:t xml:space="preserve">A user or a Paperclip manager agent issues a goal. An </w:t>
      </w:r>
      <w:proofErr w:type="spellStart"/>
      <w:r>
        <w:t>OpenClaw</w:t>
      </w:r>
      <w:proofErr w:type="spellEnd"/>
      <w:r>
        <w:t xml:space="preserve"> runtime (or a </w:t>
      </w:r>
      <w:proofErr w:type="spellStart"/>
      <w:r>
        <w:t>NemoClaw</w:t>
      </w:r>
      <w:proofErr w:type="spellEnd"/>
      <w:r>
        <w:t xml:space="preserve"> runtime, for regulated work) picks up the goal, consults its persona and memory, and decomposes it into a plan. For each step in the plan, the agent calls a tool exposed through our internal MCP gateway, which authenticates the request, checks policy, logs the call, and proxies it to the underlying system — our project-management platform, our data warehouse, our document store. Results come back, the agent updates its memory and the shared Paperclip ledger, and it either completes the goal or escalates to a named human. Every step is observable, every cost is attributed, and every external action is </w:t>
      </w:r>
      <w:proofErr w:type="spellStart"/>
      <w:r>
        <w:t>authorised</w:t>
      </w:r>
      <w:proofErr w:type="spellEnd"/>
      <w:r>
        <w:t>.</w:t>
      </w:r>
    </w:p>
    <w:p w14:paraId="40A673F6" w14:textId="77777777" w:rsidR="00CF21A4" w:rsidRDefault="00000000">
      <w:pPr>
        <w:pStyle w:val="Heading2"/>
      </w:pPr>
      <w:r>
        <w:t>3.2 The MCP library as a long-lived asset</w:t>
      </w:r>
    </w:p>
    <w:p w14:paraId="4CBB7E81" w14:textId="77777777" w:rsidR="00CF21A4" w:rsidRDefault="00000000">
      <w:pPr>
        <w:spacing w:after="120"/>
      </w:pPr>
      <w:r>
        <w:t xml:space="preserve">The single most valuable capital we will build during this strategy is an internal library of MCP servers — secure, tested, and versioned connectors between our AI systems and every platform that matters to our business. Each server is built once, audited once, and reused across every model and every agent we deploy. The build-versus-buy economics </w:t>
      </w:r>
      <w:proofErr w:type="spellStart"/>
      <w:r>
        <w:t>favour</w:t>
      </w:r>
      <w:proofErr w:type="spellEnd"/>
      <w:r>
        <w:t xml:space="preserve"> this approach decisively: industry benchmarks put a traditional bespoke integration at roughly five to fifteen thousand euros per system with two-to-six weeks of build time, with break-even against an MCP-based approach reached at the third or fourth integration. We will cross that threshold inside the first year.</w:t>
      </w:r>
    </w:p>
    <w:p w14:paraId="4FF10868" w14:textId="77777777" w:rsidR="00CF21A4" w:rsidRDefault="00000000">
      <w:pPr>
        <w:pStyle w:val="Heading3"/>
        <w:spacing w:after="100"/>
      </w:pPr>
      <w:r>
        <w:t>What goes in the library</w:t>
      </w:r>
    </w:p>
    <w:p w14:paraId="6CDC6D0C" w14:textId="77777777" w:rsidR="00CF21A4" w:rsidRDefault="00000000">
      <w:pPr>
        <w:pStyle w:val="ListParagraph"/>
        <w:numPr>
          <w:ilvl w:val="0"/>
          <w:numId w:val="2"/>
        </w:numPr>
        <w:spacing w:after="80"/>
      </w:pPr>
      <w:r>
        <w:t>Core systems: our ERP, CRM, and project-management platform — these three alone justify the investment.</w:t>
      </w:r>
    </w:p>
    <w:p w14:paraId="5F505B72" w14:textId="77777777" w:rsidR="00CF21A4" w:rsidRDefault="00000000">
      <w:pPr>
        <w:pStyle w:val="ListParagraph"/>
        <w:numPr>
          <w:ilvl w:val="0"/>
          <w:numId w:val="2"/>
        </w:numPr>
        <w:spacing w:after="80"/>
      </w:pPr>
      <w:r>
        <w:t>Document and knowledge: SharePoint or Google Drive, Confluence, our internal wiki, and the structured contract archive.</w:t>
      </w:r>
    </w:p>
    <w:p w14:paraId="28D10872" w14:textId="77777777" w:rsidR="00CF21A4" w:rsidRDefault="00000000">
      <w:pPr>
        <w:pStyle w:val="ListParagraph"/>
        <w:numPr>
          <w:ilvl w:val="0"/>
          <w:numId w:val="2"/>
        </w:numPr>
        <w:spacing w:after="80"/>
      </w:pPr>
      <w:r>
        <w:t>Communications: email (read-only by default, send with approval), calendar, and the company chat platform.</w:t>
      </w:r>
    </w:p>
    <w:p w14:paraId="763DC3B2" w14:textId="77777777" w:rsidR="00CF21A4" w:rsidRDefault="00000000">
      <w:pPr>
        <w:pStyle w:val="ListParagraph"/>
        <w:numPr>
          <w:ilvl w:val="0"/>
          <w:numId w:val="2"/>
        </w:numPr>
        <w:spacing w:after="80"/>
      </w:pPr>
      <w:r>
        <w:t>Analytics: our data warehouse and business-intelligence layer, for read-only diagnostic and reporting work.</w:t>
      </w:r>
    </w:p>
    <w:p w14:paraId="3A896C0A" w14:textId="77777777" w:rsidR="00CF21A4" w:rsidRDefault="00000000">
      <w:pPr>
        <w:pStyle w:val="ListParagraph"/>
        <w:numPr>
          <w:ilvl w:val="0"/>
          <w:numId w:val="2"/>
        </w:numPr>
        <w:spacing w:after="80"/>
      </w:pPr>
      <w:r>
        <w:t>External providers: regulatory data feeds, supplier portals, and any partner system we interact with more than weekly.</w:t>
      </w:r>
    </w:p>
    <w:p w14:paraId="45029685" w14:textId="77777777" w:rsidR="00CF21A4" w:rsidRDefault="00000000">
      <w:pPr>
        <w:pStyle w:val="Heading3"/>
        <w:spacing w:after="100"/>
      </w:pPr>
      <w:r>
        <w:t>What the library must do on day one</w:t>
      </w:r>
    </w:p>
    <w:p w14:paraId="0F5552D2" w14:textId="77777777" w:rsidR="00CF21A4" w:rsidRDefault="00000000">
      <w:pPr>
        <w:pStyle w:val="ListParagraph"/>
        <w:numPr>
          <w:ilvl w:val="0"/>
          <w:numId w:val="2"/>
        </w:numPr>
        <w:spacing w:after="80"/>
      </w:pPr>
      <w:r>
        <w:t>Authenticate via our existing SSO and enforce per-user permissions, never per-service-account.</w:t>
      </w:r>
    </w:p>
    <w:p w14:paraId="57570859" w14:textId="77777777" w:rsidR="00CF21A4" w:rsidRDefault="00000000">
      <w:pPr>
        <w:pStyle w:val="ListParagraph"/>
        <w:numPr>
          <w:ilvl w:val="0"/>
          <w:numId w:val="2"/>
        </w:numPr>
        <w:spacing w:after="80"/>
      </w:pPr>
      <w:r>
        <w:t>Log every call with input, output, caller identity, and business context, retained for the audit period required by our regulator.</w:t>
      </w:r>
    </w:p>
    <w:p w14:paraId="40E811CD" w14:textId="77777777" w:rsidR="00CF21A4" w:rsidRDefault="00000000">
      <w:pPr>
        <w:pStyle w:val="ListParagraph"/>
        <w:numPr>
          <w:ilvl w:val="0"/>
          <w:numId w:val="2"/>
        </w:numPr>
        <w:spacing w:after="80"/>
      </w:pPr>
      <w:r>
        <w:t>Expose a standard policy hook so that a governance team can approve, deny, or rate-limit tool use without touching application code.</w:t>
      </w:r>
    </w:p>
    <w:p w14:paraId="21FFCCA7" w14:textId="77777777" w:rsidR="00CF21A4" w:rsidRDefault="00000000">
      <w:pPr>
        <w:pStyle w:val="ListParagraph"/>
        <w:numPr>
          <w:ilvl w:val="0"/>
          <w:numId w:val="2"/>
        </w:numPr>
        <w:spacing w:after="80"/>
      </w:pPr>
      <w:r>
        <w:t xml:space="preserve">Support tool descriptions that are </w:t>
      </w:r>
      <w:proofErr w:type="gramStart"/>
      <w:r>
        <w:t>model-agnostic</w:t>
      </w:r>
      <w:proofErr w:type="gramEnd"/>
      <w:r>
        <w:t>, so that swapping the underlying LLM does not require rewriting integrations.</w:t>
      </w:r>
    </w:p>
    <w:p w14:paraId="6D5ADAB6" w14:textId="77777777" w:rsidR="00CF21A4" w:rsidRDefault="00000000">
      <w:pPr>
        <w:pStyle w:val="Heading2"/>
      </w:pPr>
      <w:r>
        <w:t>3.3 Agent runtime choices</w:t>
      </w:r>
    </w:p>
    <w:p w14:paraId="51857339" w14:textId="77777777" w:rsidR="00CF21A4" w:rsidRDefault="00000000">
      <w:pPr>
        <w:spacing w:after="120"/>
      </w:pPr>
      <w:r>
        <w:lastRenderedPageBreak/>
        <w:t xml:space="preserve">We run the </w:t>
      </w:r>
      <w:proofErr w:type="spellStart"/>
      <w:r>
        <w:t>OpenClaw</w:t>
      </w:r>
      <w:proofErr w:type="spellEnd"/>
      <w:r>
        <w:t xml:space="preserve"> runtime by default because it handles memory, tool sandboxing, and human-messaging interfaces out of the box. For regulated data, client-owned systems, or workloads requiring offline operation, we run </w:t>
      </w:r>
      <w:proofErr w:type="spellStart"/>
      <w:r>
        <w:t>NemoClaw</w:t>
      </w:r>
      <w:proofErr w:type="spellEnd"/>
      <w:r>
        <w:t xml:space="preserve">, which uses the same interfaces but enforces network and filesystem isolation and keeps inference local. The two runtimes are deliberately interchangeable from the orchestration layer's perspective, so a workflow can be moved between them </w:t>
      </w:r>
      <w:proofErr w:type="gramStart"/>
      <w:r>
        <w:t>on the basis of</w:t>
      </w:r>
      <w:proofErr w:type="gramEnd"/>
      <w:r>
        <w:t xml:space="preserve"> data-handling requirements without re-engineering.</w:t>
      </w:r>
    </w:p>
    <w:p w14:paraId="07A23C55" w14:textId="77777777" w:rsidR="00CF21A4" w:rsidRDefault="00000000">
      <w:pPr>
        <w:pStyle w:val="Heading2"/>
      </w:pPr>
      <w:r>
        <w:t>3.4 Orchestration and the human control plane</w:t>
      </w:r>
    </w:p>
    <w:p w14:paraId="75F14E8F" w14:textId="77777777" w:rsidR="00CF21A4" w:rsidRDefault="00000000">
      <w:pPr>
        <w:spacing w:after="120"/>
      </w:pPr>
      <w:r>
        <w:t>Paperclip is how we keep an agentic workforce observable. Every agent gets a role in an explicit org chart; every role has a budget, a goal, and a named human manager. When a worker agent exceeds budget, escalates, or hits an action that requires human judgement, it pauses and requests approval — visibly, with context, and with a response-time target. We will codify the rule that no autonomous agent can take an irreversible external action (sending a contract, paying an invoice, posting publicly) without a human in the loop, and the orchestration layer is what makes that rule enforceable rather than aspirational.</w:t>
      </w:r>
    </w:p>
    <w:p w14:paraId="455FC14E" w14:textId="77777777" w:rsidR="00CF21A4" w:rsidRDefault="00000000">
      <w:pPr>
        <w:pStyle w:val="Heading1"/>
        <w:pageBreakBefore/>
        <w:spacing w:before="0"/>
      </w:pPr>
      <w:r>
        <w:lastRenderedPageBreak/>
        <w:t>4. Security and Governance Posture</w:t>
      </w:r>
    </w:p>
    <w:p w14:paraId="0587A2D5" w14:textId="77777777" w:rsidR="00CF21A4" w:rsidRDefault="00000000">
      <w:pPr>
        <w:pStyle w:val="Heading2"/>
      </w:pPr>
      <w:r>
        <w:t>4.1 The threat model has changed</w:t>
      </w:r>
    </w:p>
    <w:p w14:paraId="3F7E8285" w14:textId="77777777" w:rsidR="00CF21A4" w:rsidRDefault="00000000">
      <w:pPr>
        <w:spacing w:after="120"/>
      </w:pPr>
      <w:r>
        <w:t xml:space="preserve">The defining security risk of the agent era is not a traditional breach. It is that an agent, acting on our behalf with our credentials, is tricked into doing something our </w:t>
      </w:r>
      <w:proofErr w:type="spellStart"/>
      <w:r>
        <w:t>organisation</w:t>
      </w:r>
      <w:proofErr w:type="spellEnd"/>
      <w:r>
        <w:t xml:space="preserve"> would not </w:t>
      </w:r>
      <w:proofErr w:type="spellStart"/>
      <w:r>
        <w:t>authorise</w:t>
      </w:r>
      <w:proofErr w:type="spellEnd"/>
      <w:r>
        <w:t xml:space="preserve">. The attack vector is prompt injection: hostile instructions hidden in a document, a webpage, or an email, which a reading agent interprets as coming from a trusted source. OWASP's 2026 data shows that seventy-three percent of production AI deployments have exploitable prompt-injection vulnerabilities, and only around a third of </w:t>
      </w:r>
      <w:proofErr w:type="spellStart"/>
      <w:r>
        <w:t>organisations</w:t>
      </w:r>
      <w:proofErr w:type="spellEnd"/>
      <w:r>
        <w:t xml:space="preserve"> have deployed a dedicated </w:t>
      </w:r>
      <w:proofErr w:type="spellStart"/>
      <w:r>
        <w:t>defence</w:t>
      </w:r>
      <w:proofErr w:type="spellEnd"/>
      <w:r>
        <w:t>.</w:t>
      </w:r>
    </w:p>
    <w:p w14:paraId="73620A8B" w14:textId="77777777" w:rsidR="00CF21A4" w:rsidRDefault="00000000">
      <w:pPr>
        <w:spacing w:after="120"/>
      </w:pPr>
      <w:r>
        <w:t xml:space="preserve">This is not an abstract risk. Our exposure is directly proportional to the breadth of tools we connect and the autonomy we grant. The mitigation is architectural, not </w:t>
      </w:r>
      <w:proofErr w:type="spellStart"/>
      <w:r>
        <w:t>behavioural</w:t>
      </w:r>
      <w:proofErr w:type="spellEnd"/>
      <w:r>
        <w:t xml:space="preserve">: we build the </w:t>
      </w:r>
      <w:proofErr w:type="spellStart"/>
      <w:r>
        <w:t>defence</w:t>
      </w:r>
      <w:proofErr w:type="spellEnd"/>
      <w:r>
        <w:t xml:space="preserve"> into the stack so that an individual engineer's mistake cannot compromise the whole estate.</w:t>
      </w:r>
    </w:p>
    <w:p w14:paraId="133B7BB9" w14:textId="77777777" w:rsidR="00CF21A4" w:rsidRDefault="00000000">
      <w:pPr>
        <w:pStyle w:val="Heading2"/>
      </w:pPr>
      <w:r>
        <w:t xml:space="preserve">4.2 Triple-gate </w:t>
      </w:r>
      <w:proofErr w:type="spellStart"/>
      <w:r>
        <w:t>defence</w:t>
      </w:r>
      <w:proofErr w:type="spellEnd"/>
    </w:p>
    <w:p w14:paraId="6C061A08" w14:textId="77777777" w:rsidR="00CF21A4" w:rsidRDefault="00000000">
      <w:pPr>
        <w:spacing w:after="120"/>
      </w:pPr>
      <w:r>
        <w:t>We adopt the emerging industry pattern of three defensive gates, each run by a different layer of the stack so that a compromise of one does not cascade.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F21A4" w14:paraId="749A99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41219D17" w14:textId="77777777" w:rsidR="00CF21A4" w:rsidRDefault="00000000">
            <w:r>
              <w:rPr>
                <w:b/>
                <w:bCs/>
              </w:rPr>
              <w:t>Gate 1 — Input</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9462AF" w14:textId="77777777" w:rsidR="00CF21A4" w:rsidRDefault="00000000">
            <w:r>
              <w:t>Every prompt and every retrieved document is scanned for injection patterns and PII before it reaches the model. Suspicious content is quarantined or stripped; the model never sees instructions from untrusted sources without an explicit tag.</w:t>
            </w:r>
          </w:p>
        </w:tc>
      </w:tr>
      <w:tr w:rsidR="00CF21A4" w14:paraId="710F48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6A01CF73" w14:textId="77777777" w:rsidR="00CF21A4" w:rsidRDefault="00000000">
            <w:r>
              <w:rPr>
                <w:b/>
                <w:bCs/>
              </w:rPr>
              <w:t xml:space="preserve">Gate 2 — Tool </w:t>
            </w:r>
            <w:proofErr w:type="spellStart"/>
            <w:r>
              <w:rPr>
                <w:b/>
                <w:bCs/>
              </w:rPr>
              <w:t>authorisation</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62805A26" w14:textId="77777777" w:rsidR="00CF21A4" w:rsidRDefault="00000000">
            <w:r>
              <w:t>The MCP gateway checks every tool call against policy: is this agent permitted to call this tool, with these parameters, for this user, at this time? Denials are logged and escalated.</w:t>
            </w:r>
          </w:p>
        </w:tc>
      </w:tr>
      <w:tr w:rsidR="00CF21A4" w14:paraId="6A0EE5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72690157" w14:textId="77777777" w:rsidR="00CF21A4" w:rsidRDefault="00000000">
            <w:r>
              <w:rPr>
                <w:b/>
                <w:bCs/>
              </w:rPr>
              <w:t>Gate 3 — Backend</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656635" w14:textId="77777777" w:rsidR="00CF21A4" w:rsidRDefault="00000000">
            <w:r>
              <w:t>The underlying systems enforce their own permissions. An agent cannot do anything a human with the same identity could not do. Service accounts are never used to expand an agent's reach.</w:t>
            </w:r>
          </w:p>
        </w:tc>
      </w:tr>
    </w:tbl>
    <w:p w14:paraId="5899A925" w14:textId="77777777" w:rsidR="00CF21A4" w:rsidRDefault="00CF21A4">
      <w:pPr>
        <w:spacing w:after="120"/>
      </w:pPr>
    </w:p>
    <w:p w14:paraId="19FADDEA" w14:textId="77777777" w:rsidR="00CF21A4" w:rsidRDefault="00000000">
      <w:pPr>
        <w:pStyle w:val="Heading2"/>
      </w:pPr>
      <w:r>
        <w:t>4.3 Compliance frameworks we align to</w:t>
      </w:r>
    </w:p>
    <w:p w14:paraId="48201BF2" w14:textId="77777777" w:rsidR="00CF21A4" w:rsidRDefault="00000000">
      <w:pPr>
        <w:spacing w:after="120"/>
      </w:pPr>
      <w:r>
        <w:t xml:space="preserve">We align our AI governance </w:t>
      </w:r>
      <w:proofErr w:type="spellStart"/>
      <w:r>
        <w:t>programme</w:t>
      </w:r>
      <w:proofErr w:type="spellEnd"/>
      <w:r>
        <w:t xml:space="preserve"> to three frameworks because they complement one another. NIST AI RMF provides the risk-management methodology; ISO/IEC 42001 provides the management-system standard we can be externally certified against; the EU AI Act provides the legal backstop for any operations that touch European markets. We do not treat these as three separate </w:t>
      </w:r>
      <w:proofErr w:type="spellStart"/>
      <w:r>
        <w:t>programmes</w:t>
      </w:r>
      <w:proofErr w:type="spellEnd"/>
      <w:r>
        <w:t xml:space="preserve"> — we build a single control catalogue and map it to all three.</w:t>
      </w:r>
    </w:p>
    <w:p w14:paraId="12DCE6C3" w14:textId="77777777" w:rsidR="00CF21A4" w:rsidRDefault="00000000">
      <w:pPr>
        <w:spacing w:after="120"/>
      </w:pPr>
      <w:r>
        <w:t xml:space="preserve">A material forcing function: August 2, </w:t>
      </w:r>
      <w:proofErr w:type="gramStart"/>
      <w:r>
        <w:t>2026</w:t>
      </w:r>
      <w:proofErr w:type="gramEnd"/>
      <w:r>
        <w:t xml:space="preserve"> is the point at which the EU AI Act's high-risk-system requirements become fully applicable. For any part of our operation that falls in scope, we must have controls in evidence by that date. The capability roadmap in Section 5 is paced accordingly.</w:t>
      </w:r>
    </w:p>
    <w:p w14:paraId="3F8D8422" w14:textId="77777777" w:rsidR="00CF21A4" w:rsidRDefault="00000000">
      <w:pPr>
        <w:pStyle w:val="Heading2"/>
      </w:pPr>
      <w:r>
        <w:t>4.4 Data sovereignty and residency</w:t>
      </w:r>
    </w:p>
    <w:p w14:paraId="3312D628" w14:textId="77777777" w:rsidR="00CF21A4" w:rsidRDefault="00000000">
      <w:pPr>
        <w:spacing w:after="120"/>
      </w:pPr>
      <w:r>
        <w:t xml:space="preserve">Not </w:t>
      </w:r>
      <w:proofErr w:type="gramStart"/>
      <w:r>
        <w:t>all of</w:t>
      </w:r>
      <w:proofErr w:type="gramEnd"/>
      <w:r>
        <w:t xml:space="preserve"> our data is equal. We classify every dataset into one of three tiers at the start of Phase 0: public, confidential, and regulated. Public and confidential data may be processed by cloud-hosted </w:t>
      </w:r>
      <w:r>
        <w:lastRenderedPageBreak/>
        <w:t xml:space="preserve">models with standard contractual protections. Regulated data — anything covered by contractual client confidentiality, health or financial regulation, or jurisdictional residency requirements — is processed only on infrastructure we control, using </w:t>
      </w:r>
      <w:proofErr w:type="spellStart"/>
      <w:r>
        <w:t>NemoClaw</w:t>
      </w:r>
      <w:proofErr w:type="spellEnd"/>
      <w:r>
        <w:t xml:space="preserve"> with local </w:t>
      </w:r>
      <w:proofErr w:type="spellStart"/>
      <w:r>
        <w:t>Nemotron</w:t>
      </w:r>
      <w:proofErr w:type="spellEnd"/>
      <w:r>
        <w:t xml:space="preserve"> inference. The classification is enforced at the MCP gateway, so a misconfigured agent cannot accidentally route regulated content to a third-party API.</w:t>
      </w:r>
    </w:p>
    <w:p w14:paraId="74AE9325" w14:textId="77777777" w:rsidR="00CF21A4" w:rsidRDefault="00000000">
      <w:pPr>
        <w:pStyle w:val="Heading1"/>
        <w:pageBreakBefore/>
        <w:spacing w:before="0"/>
      </w:pPr>
      <w:r>
        <w:lastRenderedPageBreak/>
        <w:t>5. Capability Roadmap</w:t>
      </w:r>
    </w:p>
    <w:p w14:paraId="684FF1BE" w14:textId="77777777" w:rsidR="00CF21A4" w:rsidRDefault="00000000">
      <w:pPr>
        <w:spacing w:after="120"/>
      </w:pPr>
      <w:r>
        <w:t>The roadmap is deliberately staged so that the company never commits more than one quarter ahead. Each phase has entry criteria, a bounded investment, and exit criteria that must be met before the next phase is funded. This structure lets us stop cheaply if the premise of the strategy proves wrong, and to accelerate hard if it proves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3400"/>
        <w:gridCol w:w="2760"/>
      </w:tblGrid>
      <w:tr w:rsidR="00CF21A4" w14:paraId="188C7841"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A5F"/>
            <w:tcMar>
              <w:top w:w="100" w:type="dxa"/>
              <w:left w:w="140" w:type="dxa"/>
              <w:bottom w:w="100" w:type="dxa"/>
              <w:right w:w="140" w:type="dxa"/>
            </w:tcMar>
          </w:tcPr>
          <w:p w14:paraId="5DF9F73D" w14:textId="77777777" w:rsidR="00CF21A4" w:rsidRDefault="00000000">
            <w:r>
              <w:rPr>
                <w:b/>
                <w:bCs/>
                <w:color w:val="FFFFFF"/>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1F3A5F"/>
            <w:tcMar>
              <w:top w:w="100" w:type="dxa"/>
              <w:left w:w="140" w:type="dxa"/>
              <w:bottom w:w="100" w:type="dxa"/>
              <w:right w:w="140" w:type="dxa"/>
            </w:tcMar>
          </w:tcPr>
          <w:p w14:paraId="598ECA9B" w14:textId="77777777" w:rsidR="00CF21A4" w:rsidRDefault="00000000">
            <w:r>
              <w:rPr>
                <w:b/>
                <w:bCs/>
                <w:color w:val="FFFFFF"/>
              </w:rPr>
              <w:t>Timeframe</w:t>
            </w:r>
          </w:p>
        </w:tc>
        <w:tc>
          <w:tcPr>
            <w:tcW w:w="3400" w:type="dxa"/>
            <w:tcBorders>
              <w:top w:val="single" w:sz="1" w:space="0" w:color="CCCCCC"/>
              <w:left w:val="single" w:sz="1" w:space="0" w:color="CCCCCC"/>
              <w:bottom w:val="single" w:sz="1" w:space="0" w:color="CCCCCC"/>
              <w:right w:val="single" w:sz="1" w:space="0" w:color="CCCCCC"/>
            </w:tcBorders>
            <w:shd w:val="clear" w:color="auto" w:fill="1F3A5F"/>
            <w:tcMar>
              <w:top w:w="100" w:type="dxa"/>
              <w:left w:w="140" w:type="dxa"/>
              <w:bottom w:w="100" w:type="dxa"/>
              <w:right w:w="140" w:type="dxa"/>
            </w:tcMar>
          </w:tcPr>
          <w:p w14:paraId="55FF8847" w14:textId="77777777" w:rsidR="00CF21A4" w:rsidRDefault="00000000">
            <w:r>
              <w:rPr>
                <w:b/>
                <w:bCs/>
                <w:color w:val="FFFFFF"/>
              </w:rPr>
              <w:t>Focus</w:t>
            </w:r>
          </w:p>
        </w:tc>
        <w:tc>
          <w:tcPr>
            <w:tcW w:w="2760" w:type="dxa"/>
            <w:tcBorders>
              <w:top w:val="single" w:sz="1" w:space="0" w:color="CCCCCC"/>
              <w:left w:val="single" w:sz="1" w:space="0" w:color="CCCCCC"/>
              <w:bottom w:val="single" w:sz="1" w:space="0" w:color="CCCCCC"/>
              <w:right w:val="single" w:sz="1" w:space="0" w:color="CCCCCC"/>
            </w:tcBorders>
            <w:shd w:val="clear" w:color="auto" w:fill="1F3A5F"/>
            <w:tcMar>
              <w:top w:w="100" w:type="dxa"/>
              <w:left w:w="140" w:type="dxa"/>
              <w:bottom w:w="100" w:type="dxa"/>
              <w:right w:w="140" w:type="dxa"/>
            </w:tcMar>
          </w:tcPr>
          <w:p w14:paraId="471C022E" w14:textId="77777777" w:rsidR="00CF21A4" w:rsidRDefault="00000000">
            <w:r>
              <w:rPr>
                <w:b/>
                <w:bCs/>
                <w:color w:val="FFFFFF"/>
              </w:rPr>
              <w:t>Exit criteria</w:t>
            </w:r>
          </w:p>
        </w:tc>
      </w:tr>
      <w:tr w:rsidR="00CF21A4" w14:paraId="5B2C0F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EE0B69" w14:textId="77777777" w:rsidR="00CF21A4" w:rsidRDefault="00000000">
            <w:r>
              <w:t>0 — Foundations</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38A505" w14:textId="77777777" w:rsidR="00CF21A4" w:rsidRDefault="00000000">
            <w:r>
              <w:t>Months 1–3</w:t>
            </w:r>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1F7D8A" w14:textId="77777777" w:rsidR="00CF21A4" w:rsidRDefault="00000000">
            <w:r>
              <w:t>Data classification, MCP gateway stood up, two connectors live, governance charter approved, AI Council formed.</w:t>
            </w:r>
          </w:p>
        </w:tc>
        <w:tc>
          <w:tcPr>
            <w:tcW w:w="2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5201756" w14:textId="77777777" w:rsidR="00CF21A4" w:rsidRDefault="00000000">
            <w:r>
              <w:t>Gateway passing a security review; one real workflow running end-to-end in staging.</w:t>
            </w:r>
          </w:p>
        </w:tc>
      </w:tr>
      <w:tr w:rsidR="00CF21A4" w14:paraId="4EFF728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446E3D45" w14:textId="77777777" w:rsidR="00CF21A4" w:rsidRDefault="00000000">
            <w:r>
              <w:t>1 — Pilots</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54314A2B" w14:textId="77777777" w:rsidR="00CF21A4" w:rsidRDefault="00000000">
            <w:r>
              <w:t>Months 4–9</w:t>
            </w:r>
          </w:p>
        </w:tc>
        <w:tc>
          <w:tcPr>
            <w:tcW w:w="34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01F7461E" w14:textId="77777777" w:rsidR="00CF21A4" w:rsidRDefault="00000000">
            <w:r>
              <w:t xml:space="preserve">Three to five bounded pilots against named business outcomes. </w:t>
            </w:r>
            <w:proofErr w:type="spellStart"/>
            <w:r>
              <w:t>OpenClaw</w:t>
            </w:r>
            <w:proofErr w:type="spellEnd"/>
            <w:r>
              <w:t xml:space="preserve"> personas for recurring PM tasks. First Paperclip org of five managed agents.</w:t>
            </w:r>
          </w:p>
        </w:tc>
        <w:tc>
          <w:tcPr>
            <w:tcW w:w="27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06498EFF" w14:textId="77777777" w:rsidR="00CF21A4" w:rsidRDefault="00000000">
            <w:r>
              <w:t>Each pilot delivers a documented outcome (value or no-go); at least one pilot has a credible payback case.</w:t>
            </w:r>
          </w:p>
        </w:tc>
      </w:tr>
      <w:tr w:rsidR="00CF21A4" w14:paraId="6C3D77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DA789D" w14:textId="77777777" w:rsidR="00CF21A4" w:rsidRDefault="00000000">
            <w:r>
              <w:t>2 — Scale</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051F8BA" w14:textId="77777777" w:rsidR="00CF21A4" w:rsidRDefault="00000000">
            <w:r>
              <w:t>Months 10–18</w:t>
            </w:r>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3BFBB4E" w14:textId="77777777" w:rsidR="00CF21A4" w:rsidRDefault="00000000">
            <w:r>
              <w:t>Roll winning pilots to the relevant business units. Expand the MCP library to ten-plus connectors. Formal ISO 42001 readiness; EU AI Act compliance for in-scope workflows.</w:t>
            </w:r>
          </w:p>
        </w:tc>
        <w:tc>
          <w:tcPr>
            <w:tcW w:w="2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8180F7" w14:textId="77777777" w:rsidR="00CF21A4" w:rsidRDefault="00000000">
            <w:r>
              <w:t>At least one line of business has AI embedded in its P&amp;L with a measured margin or cycle-time impact.</w:t>
            </w:r>
          </w:p>
        </w:tc>
      </w:tr>
      <w:tr w:rsidR="00CF21A4" w14:paraId="7407CD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0D20EED7" w14:textId="77777777" w:rsidR="00CF21A4" w:rsidRDefault="00000000">
            <w:r>
              <w:t>3 — Autonomous operations</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437756A4" w14:textId="77777777" w:rsidR="00CF21A4" w:rsidRDefault="00000000">
            <w:r>
              <w:t>Months 19–36</w:t>
            </w:r>
          </w:p>
        </w:tc>
        <w:tc>
          <w:tcPr>
            <w:tcW w:w="34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5443B5AE" w14:textId="77777777" w:rsidR="00CF21A4" w:rsidRDefault="00000000">
            <w:r>
              <w:t xml:space="preserve">Multi-agent Paperclip orgs operating recurring knowledge processes with humans in oversight roles. Cross-functional workflows. External certification </w:t>
            </w:r>
            <w:proofErr w:type="gramStart"/>
            <w:r>
              <w:t>where</w:t>
            </w:r>
            <w:proofErr w:type="gramEnd"/>
            <w:r>
              <w:t xml:space="preserve"> commercially useful.</w:t>
            </w:r>
          </w:p>
        </w:tc>
        <w:tc>
          <w:tcPr>
            <w:tcW w:w="27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449DC7D3" w14:textId="77777777" w:rsidR="00CF21A4" w:rsidRDefault="00000000">
            <w:r>
              <w:t>Measurable shift in cost-to-serve and in employee time allocation toward judgment-heavy work.</w:t>
            </w:r>
          </w:p>
        </w:tc>
      </w:tr>
    </w:tbl>
    <w:p w14:paraId="6A731877" w14:textId="77777777" w:rsidR="00CF21A4" w:rsidRDefault="00CF21A4">
      <w:pPr>
        <w:spacing w:after="120"/>
      </w:pPr>
    </w:p>
    <w:p w14:paraId="5C7E8FAE" w14:textId="77777777" w:rsidR="00CF21A4" w:rsidRDefault="00000000">
      <w:pPr>
        <w:pStyle w:val="Heading2"/>
      </w:pPr>
      <w:r>
        <w:t>5.1 Phase 0 commitments (the next ninety days)</w:t>
      </w:r>
    </w:p>
    <w:p w14:paraId="7E5AE91D" w14:textId="77777777" w:rsidR="00CF21A4" w:rsidRDefault="00000000">
      <w:pPr>
        <w:spacing w:after="120"/>
      </w:pPr>
      <w:r>
        <w:t>Phase 0 is what we commit to before we ask for scale-phase investment. It is deliberately small so that it can be reversed without loss.</w:t>
      </w:r>
    </w:p>
    <w:p w14:paraId="00ADF4C0" w14:textId="77777777" w:rsidR="00CF21A4" w:rsidRDefault="00000000">
      <w:pPr>
        <w:pStyle w:val="ListParagraph"/>
        <w:numPr>
          <w:ilvl w:val="0"/>
          <w:numId w:val="2"/>
        </w:numPr>
        <w:spacing w:after="80"/>
      </w:pPr>
      <w:r>
        <w:t>Appoint an AI Council: a named executive sponsor, a head of AI engineering, a security lead, a legal and privacy lead, and two business-unit leaders.</w:t>
      </w:r>
    </w:p>
    <w:p w14:paraId="2C931CED" w14:textId="77777777" w:rsidR="00CF21A4" w:rsidRDefault="00000000">
      <w:pPr>
        <w:pStyle w:val="ListParagraph"/>
        <w:numPr>
          <w:ilvl w:val="0"/>
          <w:numId w:val="2"/>
        </w:numPr>
        <w:spacing w:after="80"/>
      </w:pPr>
      <w:r>
        <w:t>Complete data classification across our top ten systems and document the results.</w:t>
      </w:r>
    </w:p>
    <w:p w14:paraId="22C98C43" w14:textId="77777777" w:rsidR="00CF21A4" w:rsidRDefault="00000000">
      <w:pPr>
        <w:pStyle w:val="ListParagraph"/>
        <w:numPr>
          <w:ilvl w:val="0"/>
          <w:numId w:val="2"/>
        </w:numPr>
        <w:spacing w:after="80"/>
      </w:pPr>
      <w:r>
        <w:t>Stand up the first version of the MCP gateway with audit logging, SSO integration, and one approved connector.</w:t>
      </w:r>
    </w:p>
    <w:p w14:paraId="2916B55A" w14:textId="77777777" w:rsidR="00CF21A4" w:rsidRDefault="00000000">
      <w:pPr>
        <w:pStyle w:val="ListParagraph"/>
        <w:numPr>
          <w:ilvl w:val="0"/>
          <w:numId w:val="2"/>
        </w:numPr>
        <w:spacing w:after="80"/>
      </w:pPr>
      <w:r>
        <w:t>Publish the governance charter, including the human-in-the-loop policy for irreversible actions.</w:t>
      </w:r>
    </w:p>
    <w:p w14:paraId="67381911" w14:textId="77777777" w:rsidR="00CF21A4" w:rsidRDefault="00000000">
      <w:pPr>
        <w:pStyle w:val="ListParagraph"/>
        <w:numPr>
          <w:ilvl w:val="0"/>
          <w:numId w:val="2"/>
        </w:numPr>
        <w:spacing w:after="80"/>
      </w:pPr>
      <w:r>
        <w:t>Run one end-to-end workflow in staging (for example, a project-status-report generator) to prove the stack.</w:t>
      </w:r>
    </w:p>
    <w:p w14:paraId="6E26A1CA" w14:textId="77777777" w:rsidR="00CF21A4" w:rsidRDefault="00000000">
      <w:pPr>
        <w:pStyle w:val="Heading1"/>
        <w:pageBreakBefore/>
        <w:spacing w:before="0"/>
      </w:pPr>
      <w:r>
        <w:lastRenderedPageBreak/>
        <w:t>6. Operating Model and People</w:t>
      </w:r>
    </w:p>
    <w:p w14:paraId="5B19A73C" w14:textId="77777777" w:rsidR="00CF21A4" w:rsidRDefault="00000000">
      <w:pPr>
        <w:pStyle w:val="Heading2"/>
      </w:pPr>
      <w:r>
        <w:t xml:space="preserve">6.1 How we </w:t>
      </w:r>
      <w:proofErr w:type="spellStart"/>
      <w:r>
        <w:t>organise</w:t>
      </w:r>
      <w:proofErr w:type="spellEnd"/>
    </w:p>
    <w:p w14:paraId="0231955F" w14:textId="77777777" w:rsidR="00CF21A4" w:rsidRDefault="00000000">
      <w:pPr>
        <w:spacing w:after="120"/>
      </w:pPr>
      <w:r>
        <w:t>We create a small, named AI capability team sitting alongside engineering, not inside it. Its job is the shared infrastructure — the MCP library, the agent runtime estate, the governance tooling, and the Paperclip control plane. The business units own their own use cases, their own agent personas, and the outcomes those agents are responsible for. The capability team is a service provider to the business units; it does not own the workflows.</w:t>
      </w:r>
    </w:p>
    <w:p w14:paraId="433C188E" w14:textId="77777777" w:rsidR="00CF21A4" w:rsidRDefault="00000000">
      <w:pPr>
        <w:pStyle w:val="Heading2"/>
      </w:pPr>
      <w:r>
        <w:t>6.2 Roles we will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F21A4" w14:paraId="40B455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7386DE85" w14:textId="77777777" w:rsidR="00CF21A4" w:rsidRDefault="00000000">
            <w:r>
              <w:rPr>
                <w:b/>
                <w:bCs/>
              </w:rPr>
              <w:t>AI Council</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8138A7B" w14:textId="77777777" w:rsidR="00CF21A4" w:rsidRDefault="00000000">
            <w:r>
              <w:t>Cross-functional executive forum. Meets monthly. Approves new use cases, resolves governance escalations, and owns the annual review of every production agent.</w:t>
            </w:r>
          </w:p>
        </w:tc>
      </w:tr>
      <w:tr w:rsidR="00CF21A4" w14:paraId="7F4DA7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613CCCD2" w14:textId="77777777" w:rsidR="00CF21A4" w:rsidRDefault="00000000">
            <w:r>
              <w:rPr>
                <w:b/>
                <w:bCs/>
              </w:rPr>
              <w:t>Head of AI Engineering</w:t>
            </w:r>
          </w:p>
        </w:tc>
        <w:tc>
          <w:tcPr>
            <w:tcW w:w="67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748A78EA" w14:textId="77777777" w:rsidR="00CF21A4" w:rsidRDefault="00000000">
            <w:r>
              <w:t>Accountable for the MCP library, runtime estate, and security posture. Reports to the CTO.</w:t>
            </w:r>
          </w:p>
        </w:tc>
      </w:tr>
      <w:tr w:rsidR="00CF21A4" w14:paraId="1EC383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610DF20A" w14:textId="77777777" w:rsidR="00CF21A4" w:rsidRDefault="00000000">
            <w:r>
              <w:rPr>
                <w:b/>
                <w:bCs/>
              </w:rPr>
              <w:t>AI Governance Lead</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0B4784" w14:textId="77777777" w:rsidR="00CF21A4" w:rsidRDefault="00000000">
            <w:r>
              <w:t>Owns the control catalogue, the compliance mappings (NIST, ISO 42001, EU AI Act), and the human-in-the-loop policy. Reports to the General Counsel or CRO.</w:t>
            </w:r>
          </w:p>
        </w:tc>
      </w:tr>
      <w:tr w:rsidR="00CF21A4" w14:paraId="3A3981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4D9E31F9" w14:textId="77777777" w:rsidR="00CF21A4" w:rsidRDefault="00000000">
            <w:r>
              <w:rPr>
                <w:b/>
                <w:bCs/>
              </w:rPr>
              <w:t>Business-unit AI Leads</w:t>
            </w:r>
          </w:p>
        </w:tc>
        <w:tc>
          <w:tcPr>
            <w:tcW w:w="67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48EFFFEA" w14:textId="77777777" w:rsidR="00CF21A4" w:rsidRDefault="00000000">
            <w:r>
              <w:t>One per major business unit. Owns the pilot portfolio and the agent personas for their area. Accountable for the outcome metrics.</w:t>
            </w:r>
          </w:p>
        </w:tc>
      </w:tr>
      <w:tr w:rsidR="00CF21A4" w14:paraId="627D87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4B2664F9" w14:textId="77777777" w:rsidR="00CF21A4" w:rsidRDefault="00000000">
            <w:r>
              <w:rPr>
                <w:b/>
                <w:bCs/>
              </w:rPr>
              <w:t>Agent Managers</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FC7768" w14:textId="77777777" w:rsidR="00CF21A4" w:rsidRDefault="00000000">
            <w:r>
              <w:t>Named humans (often the BU AI Lead or a senior operator) who are the accountable manager for every production agent. Review performance, approve budget, resolve escalations.</w:t>
            </w:r>
          </w:p>
        </w:tc>
      </w:tr>
    </w:tbl>
    <w:p w14:paraId="04B7C49C" w14:textId="77777777" w:rsidR="00CF21A4" w:rsidRDefault="00CF21A4">
      <w:pPr>
        <w:spacing w:after="120"/>
      </w:pPr>
    </w:p>
    <w:p w14:paraId="18FE406F" w14:textId="77777777" w:rsidR="00CF21A4" w:rsidRDefault="00000000">
      <w:pPr>
        <w:pStyle w:val="Heading2"/>
      </w:pPr>
      <w:r>
        <w:t>6.3 Ways of working</w:t>
      </w:r>
    </w:p>
    <w:p w14:paraId="6CFA98CB" w14:textId="77777777" w:rsidR="00CF21A4" w:rsidRDefault="00000000">
      <w:pPr>
        <w:spacing w:after="120"/>
      </w:pPr>
      <w:r>
        <w:t xml:space="preserve">We commit to three practices that govern how AI </w:t>
      </w:r>
      <w:proofErr w:type="gramStart"/>
      <w:r>
        <w:t>work flows</w:t>
      </w:r>
      <w:proofErr w:type="gramEnd"/>
      <w:r>
        <w:t xml:space="preserve"> through the company. First, every agent ships with a one-page description — purpose, tools, boundaries, manager, review date — published internally before it goes live. Second, every pilot starts with a written business-outcome hypothesis; a pilot that cannot name the number it will move is not funded. Third, we hold a monthly AI Council review at which every production agent is listed, its KPI is reported, and any underperforming agent is either fixed or decommissioned. Dormant agents do not accumulate silently.</w:t>
      </w:r>
    </w:p>
    <w:p w14:paraId="64C4A5F8" w14:textId="77777777" w:rsidR="00CF21A4" w:rsidRDefault="00000000">
      <w:pPr>
        <w:pStyle w:val="Heading2"/>
      </w:pPr>
      <w:r>
        <w:t>6.4 Upskilling our people</w:t>
      </w:r>
    </w:p>
    <w:p w14:paraId="67200F75" w14:textId="77777777" w:rsidR="00CF21A4" w:rsidRDefault="00000000">
      <w:pPr>
        <w:spacing w:after="120"/>
      </w:pPr>
      <w:r>
        <w:t xml:space="preserve">The most important workforce investment is not hiring AI specialists but raising the baseline literacy of the </w:t>
      </w:r>
      <w:proofErr w:type="spellStart"/>
      <w:r>
        <w:t>organisation</w:t>
      </w:r>
      <w:proofErr w:type="spellEnd"/>
      <w:r>
        <w:t xml:space="preserve">. We will run a structured </w:t>
      </w:r>
      <w:proofErr w:type="spellStart"/>
      <w:r>
        <w:t>programme</w:t>
      </w:r>
      <w:proofErr w:type="spellEnd"/>
      <w:r>
        <w:t xml:space="preserve"> with three tiers: a universal literacy baseline for every employee covering prompt hygiene, security awareness, and the governance model; a builder tier for anyone who creates agent personas or MCP configurations; and a leadership tier for managers whose teams include agents. The </w:t>
      </w:r>
      <w:proofErr w:type="spellStart"/>
      <w:r>
        <w:t>programme's</w:t>
      </w:r>
      <w:proofErr w:type="spellEnd"/>
      <w:r>
        <w:t xml:space="preserve"> success measure is not a completion rate — it is whether, eighteen months in, every people-manager in the company can describe the agents their team relies on.</w:t>
      </w:r>
    </w:p>
    <w:p w14:paraId="53FDD8B7" w14:textId="77777777" w:rsidR="00CF21A4" w:rsidRDefault="00000000">
      <w:pPr>
        <w:pStyle w:val="Heading1"/>
        <w:pageBreakBefore/>
        <w:spacing w:before="0"/>
      </w:pPr>
      <w:r>
        <w:lastRenderedPageBreak/>
        <w:t>7. The Shareholder Value Narrative</w:t>
      </w:r>
    </w:p>
    <w:p w14:paraId="4C6FBCD2" w14:textId="77777777" w:rsidR="00CF21A4" w:rsidRDefault="00000000">
      <w:pPr>
        <w:pStyle w:val="Heading2"/>
      </w:pPr>
      <w:r>
        <w:t>7.1 How we will talk about value</w:t>
      </w:r>
    </w:p>
    <w:p w14:paraId="75ABA40B" w14:textId="77777777" w:rsidR="00CF21A4" w:rsidRDefault="00000000">
      <w:pPr>
        <w:spacing w:after="120"/>
      </w:pPr>
      <w:r>
        <w:t xml:space="preserve">The single biggest failure mode for an enterprise AI </w:t>
      </w:r>
      <w:proofErr w:type="spellStart"/>
      <w:r>
        <w:t>programme</w:t>
      </w:r>
      <w:proofErr w:type="spellEnd"/>
      <w:r>
        <w:t xml:space="preserve"> is that its value is reported in language that shareholders and boards cannot act on. We will not report in model benchmarks, token counts, or number of agents deployed. We will report in the language the business already </w:t>
      </w:r>
      <w:proofErr w:type="gramStart"/>
      <w:r>
        <w:t>uses:</w:t>
      </w:r>
      <w:proofErr w:type="gramEnd"/>
      <w:r>
        <w:t xml:space="preserve"> gross margin on the lines where AI is embedded, cycle time for named processes, quality and rework rates, employee capacity released to higher-value work, and capital-efficiency on the projects the technology supports.</w:t>
      </w:r>
    </w:p>
    <w:p w14:paraId="54C13F71" w14:textId="77777777" w:rsidR="00CF21A4" w:rsidRDefault="00000000">
      <w:pPr>
        <w:pStyle w:val="Heading2"/>
      </w:pPr>
      <w:r>
        <w:t>7.2 The KPIs we commit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60"/>
      </w:tblGrid>
      <w:tr w:rsidR="00CF21A4" w14:paraId="0BA68B5F"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A5F"/>
            <w:tcMar>
              <w:top w:w="100" w:type="dxa"/>
              <w:left w:w="140" w:type="dxa"/>
              <w:bottom w:w="100" w:type="dxa"/>
              <w:right w:w="140" w:type="dxa"/>
            </w:tcMar>
          </w:tcPr>
          <w:p w14:paraId="14ABBF39" w14:textId="77777777" w:rsidR="00CF21A4" w:rsidRDefault="00000000">
            <w:r>
              <w:rPr>
                <w:b/>
                <w:bCs/>
                <w:color w:val="FFFFFF"/>
              </w:rPr>
              <w:t>KPI</w:t>
            </w:r>
          </w:p>
        </w:tc>
        <w:tc>
          <w:tcPr>
            <w:tcW w:w="3600" w:type="dxa"/>
            <w:tcBorders>
              <w:top w:val="single" w:sz="1" w:space="0" w:color="CCCCCC"/>
              <w:left w:val="single" w:sz="1" w:space="0" w:color="CCCCCC"/>
              <w:bottom w:val="single" w:sz="1" w:space="0" w:color="CCCCCC"/>
              <w:right w:val="single" w:sz="1" w:space="0" w:color="CCCCCC"/>
            </w:tcBorders>
            <w:shd w:val="clear" w:color="auto" w:fill="1F3A5F"/>
            <w:tcMar>
              <w:top w:w="100" w:type="dxa"/>
              <w:left w:w="140" w:type="dxa"/>
              <w:bottom w:w="100" w:type="dxa"/>
              <w:right w:w="140" w:type="dxa"/>
            </w:tcMar>
          </w:tcPr>
          <w:p w14:paraId="1BD3BA23" w14:textId="77777777" w:rsidR="00CF21A4" w:rsidRDefault="00000000">
            <w:r>
              <w:rPr>
                <w:b/>
                <w:bCs/>
                <w:color w:val="FFFFFF"/>
              </w:rPr>
              <w:t>What it measures</w:t>
            </w:r>
          </w:p>
        </w:tc>
        <w:tc>
          <w:tcPr>
            <w:tcW w:w="3160" w:type="dxa"/>
            <w:tcBorders>
              <w:top w:val="single" w:sz="1" w:space="0" w:color="CCCCCC"/>
              <w:left w:val="single" w:sz="1" w:space="0" w:color="CCCCCC"/>
              <w:bottom w:val="single" w:sz="1" w:space="0" w:color="CCCCCC"/>
              <w:right w:val="single" w:sz="1" w:space="0" w:color="CCCCCC"/>
            </w:tcBorders>
            <w:shd w:val="clear" w:color="auto" w:fill="1F3A5F"/>
            <w:tcMar>
              <w:top w:w="100" w:type="dxa"/>
              <w:left w:w="140" w:type="dxa"/>
              <w:bottom w:w="100" w:type="dxa"/>
              <w:right w:w="140" w:type="dxa"/>
            </w:tcMar>
          </w:tcPr>
          <w:p w14:paraId="24988EAF" w14:textId="77777777" w:rsidR="00CF21A4" w:rsidRDefault="00000000">
            <w:r>
              <w:rPr>
                <w:b/>
                <w:bCs/>
                <w:color w:val="FFFFFF"/>
              </w:rPr>
              <w:t>Target by end of Phase 2</w:t>
            </w:r>
          </w:p>
        </w:tc>
      </w:tr>
      <w:tr w:rsidR="00CF21A4" w14:paraId="21DCE9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3D6D0B" w14:textId="77777777" w:rsidR="00CF21A4" w:rsidRDefault="00000000">
            <w:r>
              <w:t>AI-embedded gross margin</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8CF4F2" w14:textId="77777777" w:rsidR="00CF21A4" w:rsidRDefault="00000000">
            <w:r>
              <w:t>Gross margin on the lines of business where production agents operate.</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9DB95D" w14:textId="77777777" w:rsidR="00CF21A4" w:rsidRDefault="00000000">
            <w:r>
              <w:t>200+ basis points above the equivalent non-AI baseline.</w:t>
            </w:r>
          </w:p>
        </w:tc>
      </w:tr>
      <w:tr w:rsidR="00CF21A4" w14:paraId="7322CB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32EDD6A8" w14:textId="77777777" w:rsidR="00CF21A4" w:rsidRDefault="00000000">
            <w:r>
              <w:t>Process cycle time</w:t>
            </w:r>
          </w:p>
        </w:tc>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6950B5A8" w14:textId="77777777" w:rsidR="00CF21A4" w:rsidRDefault="00000000">
            <w:r>
              <w:t>Time from initiation to completion for five named recurring processes.</w:t>
            </w:r>
          </w:p>
        </w:tc>
        <w:tc>
          <w:tcPr>
            <w:tcW w:w="31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5855EAF0" w14:textId="77777777" w:rsidR="00CF21A4" w:rsidRDefault="00000000">
            <w:r>
              <w:t>30–50% reduction against Phase 0 baseline.</w:t>
            </w:r>
          </w:p>
        </w:tc>
      </w:tr>
      <w:tr w:rsidR="00CF21A4" w14:paraId="65587C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8D8B2CC" w14:textId="77777777" w:rsidR="00CF21A4" w:rsidRDefault="00000000">
            <w:r>
              <w:t>Rework rate</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C4FF9ED" w14:textId="77777777" w:rsidR="00CF21A4" w:rsidRDefault="00000000">
            <w:r>
              <w:t>Percentage of deliverables requiring material revision after first completion.</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333CD51" w14:textId="77777777" w:rsidR="00CF21A4" w:rsidRDefault="00000000">
            <w:r>
              <w:t>Equal to or better than the pre-AI baseline, never worse.</w:t>
            </w:r>
          </w:p>
        </w:tc>
      </w:tr>
      <w:tr w:rsidR="00CF21A4" w14:paraId="6C68E3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0EAF5584" w14:textId="77777777" w:rsidR="00CF21A4" w:rsidRDefault="00000000">
            <w:r>
              <w:t>Human capacity released</w:t>
            </w:r>
          </w:p>
        </w:tc>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77705B14" w14:textId="77777777" w:rsidR="00CF21A4" w:rsidRDefault="00000000">
            <w:r>
              <w:t>Hours per month returned to judgement-heavy work across the named processes.</w:t>
            </w:r>
          </w:p>
        </w:tc>
        <w:tc>
          <w:tcPr>
            <w:tcW w:w="31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2C62FBF6" w14:textId="77777777" w:rsidR="00CF21A4" w:rsidRDefault="00000000">
            <w:r>
              <w:t>Equivalent to 10% of the affected workforce.</w:t>
            </w:r>
          </w:p>
        </w:tc>
      </w:tr>
      <w:tr w:rsidR="00CF21A4" w14:paraId="2695EC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E1561A" w14:textId="77777777" w:rsidR="00CF21A4" w:rsidRDefault="00000000">
            <w:r>
              <w:t>Governance posture</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5B0E1DC" w14:textId="77777777" w:rsidR="00CF21A4" w:rsidRDefault="00000000">
            <w:r>
              <w:t>Open control gaps against the NIST / ISO 42001 / EU AI Act mapping.</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DD59A87" w14:textId="77777777" w:rsidR="00CF21A4" w:rsidRDefault="00000000">
            <w:r>
              <w:t>Zero material gaps; external readiness review passed.</w:t>
            </w:r>
          </w:p>
        </w:tc>
      </w:tr>
    </w:tbl>
    <w:p w14:paraId="60938BD0" w14:textId="77777777" w:rsidR="00CF21A4" w:rsidRDefault="00CF21A4">
      <w:pPr>
        <w:spacing w:after="120"/>
      </w:pPr>
    </w:p>
    <w:p w14:paraId="17678D3F" w14:textId="77777777" w:rsidR="00CF21A4" w:rsidRDefault="00000000">
      <w:pPr>
        <w:pStyle w:val="Heading2"/>
      </w:pPr>
      <w:r>
        <w:t>7.3 The one-line story for shareholders</w:t>
      </w:r>
    </w:p>
    <w:p w14:paraId="7AA265D3" w14:textId="77777777" w:rsidR="00CF21A4" w:rsidRDefault="00000000">
      <w:pPr>
        <w:spacing w:after="120"/>
      </w:pPr>
      <w:r>
        <w:t>If we do this well, the story we tell our shareholders at the end of Phase 2 is this: we have built a proprietary library of secure connectors between our business systems and the modern AI stack, we operate a governed workforce of autonomous agents against named business outcomes, and our unit economics on the affected lines of business are demonstrably better than they were before. The capability compounds — every new connector, every new agent persona, every month of audit data — and none of it is locked to a single vendor we do not control.</w:t>
      </w:r>
    </w:p>
    <w:p w14:paraId="43295BD8" w14:textId="77777777" w:rsidR="00CF21A4" w:rsidRDefault="00000000">
      <w:pPr>
        <w:pStyle w:val="Heading1"/>
        <w:pageBreakBefore/>
        <w:spacing w:before="0"/>
      </w:pPr>
      <w:r>
        <w:lastRenderedPageBreak/>
        <w:t>8. Risks and Mitigations</w:t>
      </w:r>
    </w:p>
    <w:p w14:paraId="24B5419D" w14:textId="77777777" w:rsidR="00CF21A4" w:rsidRDefault="00000000">
      <w:pPr>
        <w:spacing w:after="120"/>
      </w:pPr>
      <w:r>
        <w:t>The strategy is realistic about where it can fail. The risks below are ranked by likelihood-times-impact; each has a named owner and a mitigation that is already reflected in the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660"/>
      </w:tblGrid>
      <w:tr w:rsidR="00CF21A4" w14:paraId="09A45F2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100" w:type="dxa"/>
              <w:left w:w="140" w:type="dxa"/>
              <w:bottom w:w="100" w:type="dxa"/>
              <w:right w:w="140" w:type="dxa"/>
            </w:tcMar>
          </w:tcPr>
          <w:p w14:paraId="58A2FD33" w14:textId="77777777" w:rsidR="00CF21A4" w:rsidRDefault="00000000">
            <w:r>
              <w:rPr>
                <w:b/>
                <w:bCs/>
                <w:color w:val="FFFFFF"/>
              </w:rPr>
              <w:t>Risk</w:t>
            </w:r>
          </w:p>
        </w:tc>
        <w:tc>
          <w:tcPr>
            <w:tcW w:w="3300" w:type="dxa"/>
            <w:tcBorders>
              <w:top w:val="single" w:sz="1" w:space="0" w:color="CCCCCC"/>
              <w:left w:val="single" w:sz="1" w:space="0" w:color="CCCCCC"/>
              <w:bottom w:val="single" w:sz="1" w:space="0" w:color="CCCCCC"/>
              <w:right w:val="single" w:sz="1" w:space="0" w:color="CCCCCC"/>
            </w:tcBorders>
            <w:shd w:val="clear" w:color="auto" w:fill="1F3A5F"/>
            <w:tcMar>
              <w:top w:w="100" w:type="dxa"/>
              <w:left w:w="140" w:type="dxa"/>
              <w:bottom w:w="100" w:type="dxa"/>
              <w:right w:w="140" w:type="dxa"/>
            </w:tcMar>
          </w:tcPr>
          <w:p w14:paraId="7FD86D35" w14:textId="77777777" w:rsidR="00CF21A4" w:rsidRDefault="00000000">
            <w:r>
              <w:rPr>
                <w:b/>
                <w:bCs/>
                <w:color w:val="FFFFFF"/>
              </w:rPr>
              <w:t>Why it matters</w:t>
            </w:r>
          </w:p>
        </w:tc>
        <w:tc>
          <w:tcPr>
            <w:tcW w:w="3660" w:type="dxa"/>
            <w:tcBorders>
              <w:top w:val="single" w:sz="1" w:space="0" w:color="CCCCCC"/>
              <w:left w:val="single" w:sz="1" w:space="0" w:color="CCCCCC"/>
              <w:bottom w:val="single" w:sz="1" w:space="0" w:color="CCCCCC"/>
              <w:right w:val="single" w:sz="1" w:space="0" w:color="CCCCCC"/>
            </w:tcBorders>
            <w:shd w:val="clear" w:color="auto" w:fill="1F3A5F"/>
            <w:tcMar>
              <w:top w:w="100" w:type="dxa"/>
              <w:left w:w="140" w:type="dxa"/>
              <w:bottom w:w="100" w:type="dxa"/>
              <w:right w:w="140" w:type="dxa"/>
            </w:tcMar>
          </w:tcPr>
          <w:p w14:paraId="2CE288BC" w14:textId="77777777" w:rsidR="00CF21A4" w:rsidRDefault="00000000">
            <w:r>
              <w:rPr>
                <w:b/>
                <w:bCs/>
                <w:color w:val="FFFFFF"/>
              </w:rPr>
              <w:t>Mitigation</w:t>
            </w:r>
          </w:p>
        </w:tc>
      </w:tr>
      <w:tr w:rsidR="00CF21A4" w14:paraId="181A23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E32042" w14:textId="77777777" w:rsidR="00CF21A4" w:rsidRDefault="00000000">
            <w:r>
              <w:t>Prompt injection or tool-poisoning attack via a connected system</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59233A" w14:textId="77777777" w:rsidR="00CF21A4" w:rsidRDefault="00000000">
            <w:r>
              <w:t xml:space="preserve">An agent is tricked into exfiltrating data or taking an </w:t>
            </w:r>
            <w:proofErr w:type="spellStart"/>
            <w:r>
              <w:t>unauthorised</w:t>
            </w:r>
            <w:proofErr w:type="spellEnd"/>
            <w:r>
              <w:t xml:space="preserve"> action on our behalf.</w:t>
            </w:r>
          </w:p>
        </w:tc>
        <w:tc>
          <w:tcPr>
            <w:tcW w:w="3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3A911BB" w14:textId="77777777" w:rsidR="00CF21A4" w:rsidRDefault="00000000">
            <w:r>
              <w:t>Triple-gate architecture (Section 4.2); red-team exercises quarterly; policy-driven MCP gateway; human-in-the-loop for all irreversible actions.</w:t>
            </w:r>
          </w:p>
        </w:tc>
      </w:tr>
      <w:tr w:rsidR="00CF21A4" w14:paraId="4B3703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3DCF98F2" w14:textId="77777777" w:rsidR="00CF21A4" w:rsidRDefault="00000000">
            <w:r>
              <w:t>Vendor concentration</w:t>
            </w:r>
          </w:p>
        </w:tc>
        <w:tc>
          <w:tcPr>
            <w:tcW w:w="33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602B5A66" w14:textId="77777777" w:rsidR="00CF21A4" w:rsidRDefault="00000000">
            <w:r>
              <w:t>A critical layer of the stack (model, runtime, orchestrator) becomes uneconomic or unavailable.</w:t>
            </w:r>
          </w:p>
        </w:tc>
        <w:tc>
          <w:tcPr>
            <w:tcW w:w="36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7A37D6C4" w14:textId="77777777" w:rsidR="00CF21A4" w:rsidRDefault="00000000">
            <w:r>
              <w:t>Architecture reversibility test applied every six months; multiple models in active use; open-source runtimes as defaults; portable agent personas.</w:t>
            </w:r>
          </w:p>
        </w:tc>
      </w:tr>
      <w:tr w:rsidR="00CF21A4" w14:paraId="715311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8931D05" w14:textId="77777777" w:rsidR="00CF21A4" w:rsidRDefault="00000000">
            <w:r>
              <w:t>Gartner's 40% failure rate</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ECD0103" w14:textId="77777777" w:rsidR="00CF21A4" w:rsidRDefault="00000000">
            <w:r>
              <w:t>Analyst data suggests more than forty percent of agentic AI projects fail by 2027, typically due to legacy integration and governance gaps.</w:t>
            </w:r>
          </w:p>
        </w:tc>
        <w:tc>
          <w:tcPr>
            <w:tcW w:w="3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ACB2C4" w14:textId="77777777" w:rsidR="00CF21A4" w:rsidRDefault="00000000">
            <w:r>
              <w:t>Phased roadmap with exit criteria; named outcomes per pilot; MCP-first integration approach; AI Council veto on use cases without measurable outcomes.</w:t>
            </w:r>
          </w:p>
        </w:tc>
      </w:tr>
      <w:tr w:rsidR="00CF21A4" w14:paraId="0A2D4F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1AE17DD8" w14:textId="77777777" w:rsidR="00CF21A4" w:rsidRDefault="00000000">
            <w:r>
              <w:t>Shadow AI use by employees</w:t>
            </w:r>
          </w:p>
        </w:tc>
        <w:tc>
          <w:tcPr>
            <w:tcW w:w="33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57A57540" w14:textId="77777777" w:rsidR="00CF21A4" w:rsidRDefault="00000000">
            <w:r>
              <w:t>Staff adopt consumer AI tools for work, creating uncontrolled data flows.</w:t>
            </w:r>
          </w:p>
        </w:tc>
        <w:tc>
          <w:tcPr>
            <w:tcW w:w="36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018FF16B" w14:textId="77777777" w:rsidR="00CF21A4" w:rsidRDefault="00000000">
            <w:r>
              <w:t xml:space="preserve">Sanctioned, equivalent internal tools available from Phase 0; clear policy; access to approved models via our gateway; training </w:t>
            </w:r>
            <w:proofErr w:type="spellStart"/>
            <w:r>
              <w:t>programme</w:t>
            </w:r>
            <w:proofErr w:type="spellEnd"/>
            <w:r>
              <w:t>.</w:t>
            </w:r>
          </w:p>
        </w:tc>
      </w:tr>
      <w:tr w:rsidR="00CF21A4" w14:paraId="7BAA1C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43E2EC" w14:textId="77777777" w:rsidR="00CF21A4" w:rsidRDefault="00000000">
            <w:r>
              <w:t>Compliance exposure (EU AI Act, sector regulation)</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26527BA" w14:textId="77777777" w:rsidR="00CF21A4" w:rsidRDefault="00000000">
            <w:r>
              <w:t xml:space="preserve">In-scope workflows without documented controls by August 2, </w:t>
            </w:r>
            <w:proofErr w:type="gramStart"/>
            <w:r>
              <w:t>2026</w:t>
            </w:r>
            <w:proofErr w:type="gramEnd"/>
            <w:r>
              <w:t xml:space="preserve"> create legal and reputational risk.</w:t>
            </w:r>
          </w:p>
        </w:tc>
        <w:tc>
          <w:tcPr>
            <w:tcW w:w="3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B1DE4E" w14:textId="77777777" w:rsidR="00CF21A4" w:rsidRDefault="00000000">
            <w:r>
              <w:t>Governance lead owns the control catalogue from Phase 0; readiness milestone before Phase 2; external review before scale.</w:t>
            </w:r>
          </w:p>
        </w:tc>
      </w:tr>
      <w:tr w:rsidR="00CF21A4" w14:paraId="0DE9A5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48102229" w14:textId="77777777" w:rsidR="00CF21A4" w:rsidRDefault="00000000">
            <w:r>
              <w:t>Runaway agent cost</w:t>
            </w:r>
          </w:p>
        </w:tc>
        <w:tc>
          <w:tcPr>
            <w:tcW w:w="330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2DFB6612" w14:textId="77777777" w:rsidR="00CF21A4" w:rsidRDefault="00000000">
            <w:r>
              <w:t>Autonomous agents can rack up significant API cost without oversight.</w:t>
            </w:r>
          </w:p>
        </w:tc>
        <w:tc>
          <w:tcPr>
            <w:tcW w:w="36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20879EF3" w14:textId="77777777" w:rsidR="00CF21A4" w:rsidRDefault="00000000">
            <w:r>
              <w:t>Paperclip budgets at every org-chart node; daily cost-by-agent reporting; hard-limit policy at the MCP gateway.</w:t>
            </w:r>
          </w:p>
        </w:tc>
      </w:tr>
      <w:tr w:rsidR="00CF21A4" w14:paraId="5F910E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6C9B5D" w14:textId="77777777" w:rsidR="00CF21A4" w:rsidRDefault="00000000">
            <w:r>
              <w:t>Over-automation eroding judgement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C9123DC" w14:textId="77777777" w:rsidR="00CF21A4" w:rsidRDefault="00000000">
            <w:r>
              <w:t>Agents absorb work faster than humans can maintain the skill to supervise it.</w:t>
            </w:r>
          </w:p>
        </w:tc>
        <w:tc>
          <w:tcPr>
            <w:tcW w:w="3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19B065" w14:textId="77777777" w:rsidR="00CF21A4" w:rsidRDefault="00000000">
            <w:r>
              <w:t>Agent Managers required for every production agent; annual review includes a check on human-skill maintenance; apprentice model for complex processes.</w:t>
            </w:r>
          </w:p>
        </w:tc>
      </w:tr>
    </w:tbl>
    <w:p w14:paraId="5AD6B524" w14:textId="77777777" w:rsidR="00CF21A4" w:rsidRDefault="00CF21A4">
      <w:pPr>
        <w:spacing w:after="120"/>
      </w:pPr>
    </w:p>
    <w:p w14:paraId="79EFFAAB" w14:textId="77777777" w:rsidR="00CF21A4" w:rsidRDefault="00000000">
      <w:pPr>
        <w:pStyle w:val="Heading1"/>
        <w:pageBreakBefore/>
        <w:spacing w:before="0"/>
      </w:pPr>
      <w:r>
        <w:lastRenderedPageBreak/>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F21A4" w14:paraId="439FE4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06707519" w14:textId="77777777" w:rsidR="00CF21A4" w:rsidRDefault="00000000">
            <w:r>
              <w:rPr>
                <w:b/>
                <w:bCs/>
              </w:rPr>
              <w:t>Agent</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49070B" w14:textId="77777777" w:rsidR="00CF21A4" w:rsidRDefault="00000000">
            <w:r>
              <w:t>A software process that uses an LLM to plan, take actions using tools, and complete goals with limited human supervision.</w:t>
            </w:r>
          </w:p>
        </w:tc>
      </w:tr>
      <w:tr w:rsidR="00CF21A4" w14:paraId="259C6B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6820E6B9" w14:textId="77777777" w:rsidR="00CF21A4" w:rsidRDefault="00000000">
            <w:r>
              <w:rPr>
                <w:b/>
                <w:bCs/>
              </w:rPr>
              <w:t>LLM</w:t>
            </w:r>
          </w:p>
        </w:tc>
        <w:tc>
          <w:tcPr>
            <w:tcW w:w="67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51402A1D" w14:textId="77777777" w:rsidR="00CF21A4" w:rsidRDefault="00000000">
            <w:r>
              <w:t xml:space="preserve">Large language model — the underlying reasoning engine (e.g. Claude, GPT-5, Gemini, </w:t>
            </w:r>
            <w:proofErr w:type="spellStart"/>
            <w:r>
              <w:t>Nemotron</w:t>
            </w:r>
            <w:proofErr w:type="spellEnd"/>
            <w:r>
              <w:t>).</w:t>
            </w:r>
          </w:p>
        </w:tc>
      </w:tr>
      <w:tr w:rsidR="00CF21A4" w14:paraId="2C80E9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7CD06810" w14:textId="77777777" w:rsidR="00CF21A4" w:rsidRDefault="00000000">
            <w:r>
              <w:rPr>
                <w:b/>
                <w:bCs/>
              </w:rPr>
              <w:t>MCP</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235295E" w14:textId="77777777" w:rsidR="00CF21A4" w:rsidRDefault="00000000">
            <w:r>
              <w:t>Model Context Protocol — the open standard for how models connect to tools and data. Originated by Anthropic; adopted across the major labs in 2025–26.</w:t>
            </w:r>
          </w:p>
        </w:tc>
      </w:tr>
      <w:tr w:rsidR="00CF21A4" w14:paraId="3E1AA3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687FDCA9" w14:textId="77777777" w:rsidR="00CF21A4" w:rsidRDefault="00000000">
            <w:r>
              <w:rPr>
                <w:b/>
                <w:bCs/>
              </w:rPr>
              <w:t>MCP server</w:t>
            </w:r>
          </w:p>
        </w:tc>
        <w:tc>
          <w:tcPr>
            <w:tcW w:w="67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0C413F00" w14:textId="77777777" w:rsidR="00CF21A4" w:rsidRDefault="00000000">
            <w:r>
              <w:t>A small service that exposes a specific system (e.g. our CRM) to any MCP-compatible agent.</w:t>
            </w:r>
          </w:p>
        </w:tc>
      </w:tr>
      <w:tr w:rsidR="00CF21A4" w14:paraId="44C90E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1EF721E1" w14:textId="77777777" w:rsidR="00CF21A4" w:rsidRDefault="00000000">
            <w:proofErr w:type="spellStart"/>
            <w:r>
              <w:rPr>
                <w:b/>
                <w:bCs/>
              </w:rPr>
              <w:t>OpenClaw</w:t>
            </w:r>
            <w:proofErr w:type="spellEnd"/>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DB7FF8" w14:textId="77777777" w:rsidR="00CF21A4" w:rsidRDefault="00000000">
            <w:r>
              <w:t>Open-source autonomous-agent runtime launched in late 2025; our default agent runtime.</w:t>
            </w:r>
          </w:p>
        </w:tc>
      </w:tr>
      <w:tr w:rsidR="00CF21A4" w14:paraId="72ED34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70441A65" w14:textId="77777777" w:rsidR="00CF21A4" w:rsidRDefault="00000000">
            <w:proofErr w:type="spellStart"/>
            <w:r>
              <w:rPr>
                <w:b/>
                <w:bCs/>
              </w:rPr>
              <w:t>NemoClaw</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7FB58CF3" w14:textId="77777777" w:rsidR="00CF21A4" w:rsidRDefault="00000000">
            <w:r>
              <w:t xml:space="preserve">NVIDIA's secure, on-premises variant of </w:t>
            </w:r>
            <w:proofErr w:type="spellStart"/>
            <w:r>
              <w:t>OpenClaw</w:t>
            </w:r>
            <w:proofErr w:type="spellEnd"/>
            <w:r>
              <w:t>, with local inference and policy-based isolation.</w:t>
            </w:r>
          </w:p>
        </w:tc>
      </w:tr>
      <w:tr w:rsidR="00CF21A4" w14:paraId="2C976D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11098D37" w14:textId="77777777" w:rsidR="00CF21A4" w:rsidRDefault="00000000">
            <w:r>
              <w:rPr>
                <w:b/>
                <w:bCs/>
              </w:rPr>
              <w:t>Paperclip</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7B206B" w14:textId="77777777" w:rsidR="00CF21A4" w:rsidRDefault="00000000">
            <w:r>
              <w:t>Open-source orchestration framework for multi-agent companies; our default control plane.</w:t>
            </w:r>
          </w:p>
        </w:tc>
      </w:tr>
      <w:tr w:rsidR="00CF21A4" w14:paraId="31E64F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4850D663" w14:textId="77777777" w:rsidR="00CF21A4" w:rsidRDefault="00000000">
            <w:r>
              <w:rPr>
                <w:b/>
                <w:bCs/>
              </w:rPr>
              <w:t>Triple-gate</w:t>
            </w:r>
          </w:p>
        </w:tc>
        <w:tc>
          <w:tcPr>
            <w:tcW w:w="67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603D7CB7" w14:textId="77777777" w:rsidR="00CF21A4" w:rsidRDefault="00000000">
            <w:r>
              <w:t xml:space="preserve">The three-layer security pattern (input scan, tool </w:t>
            </w:r>
            <w:proofErr w:type="spellStart"/>
            <w:r>
              <w:t>authorisation</w:t>
            </w:r>
            <w:proofErr w:type="spellEnd"/>
            <w:r>
              <w:t>, backend permission) we use to defend against prompt injection and tool-poisoning.</w:t>
            </w:r>
          </w:p>
        </w:tc>
      </w:tr>
      <w:tr w:rsidR="00CF21A4" w14:paraId="017040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6B8F29DB" w14:textId="77777777" w:rsidR="00CF21A4" w:rsidRDefault="00000000">
            <w:r>
              <w:rPr>
                <w:b/>
                <w:bCs/>
              </w:rPr>
              <w:t>NIST AI RMF</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45A8F9" w14:textId="77777777" w:rsidR="00CF21A4" w:rsidRDefault="00000000">
            <w:r>
              <w:t>US National Institute of Standards and Technology AI Risk Management Framework; our risk-management methodology.</w:t>
            </w:r>
          </w:p>
        </w:tc>
      </w:tr>
      <w:tr w:rsidR="00CF21A4" w14:paraId="639EF2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4A62C70B" w14:textId="77777777" w:rsidR="00CF21A4" w:rsidRDefault="00000000">
            <w:r>
              <w:rPr>
                <w:b/>
                <w:bCs/>
              </w:rPr>
              <w:t>ISO/IEC 42001</w:t>
            </w:r>
          </w:p>
        </w:tc>
        <w:tc>
          <w:tcPr>
            <w:tcW w:w="67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4A7AC9DD" w14:textId="77777777" w:rsidR="00CF21A4" w:rsidRDefault="00000000">
            <w:r>
              <w:t>International standard for AI management systems; our certification target.</w:t>
            </w:r>
          </w:p>
        </w:tc>
      </w:tr>
      <w:tr w:rsidR="00CF21A4" w14:paraId="4E6100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63CC3888" w14:textId="77777777" w:rsidR="00CF21A4" w:rsidRDefault="00000000">
            <w:r>
              <w:rPr>
                <w:b/>
                <w:bCs/>
              </w:rPr>
              <w:t>EU AI Act</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A1986B" w14:textId="77777777" w:rsidR="00CF21A4" w:rsidRDefault="00000000">
            <w:r>
              <w:t>European Union regulation on AI; high-risk provisions fully applicable from August 2, 2026.</w:t>
            </w:r>
          </w:p>
        </w:tc>
      </w:tr>
      <w:tr w:rsidR="00CF21A4" w14:paraId="4B35EA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00" w:type="dxa"/>
              <w:left w:w="140" w:type="dxa"/>
              <w:bottom w:w="100" w:type="dxa"/>
              <w:right w:w="140" w:type="dxa"/>
            </w:tcMar>
          </w:tcPr>
          <w:p w14:paraId="7A6236CB" w14:textId="77777777" w:rsidR="00CF21A4" w:rsidRDefault="00000000">
            <w:r>
              <w:rPr>
                <w:b/>
                <w:bCs/>
              </w:rPr>
              <w:t>AI Council</w:t>
            </w:r>
          </w:p>
        </w:tc>
        <w:tc>
          <w:tcPr>
            <w:tcW w:w="676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40" w:type="dxa"/>
              <w:bottom w:w="100" w:type="dxa"/>
              <w:right w:w="140" w:type="dxa"/>
            </w:tcMar>
          </w:tcPr>
          <w:p w14:paraId="24DCF1D3" w14:textId="77777777" w:rsidR="00CF21A4" w:rsidRDefault="00000000">
            <w:r>
              <w:t>Our cross-functional executive body accountable for the governance of AI across the company.</w:t>
            </w:r>
          </w:p>
        </w:tc>
      </w:tr>
    </w:tbl>
    <w:p w14:paraId="6E7872BE" w14:textId="77777777" w:rsidR="00CF21A4" w:rsidRDefault="00CF21A4">
      <w:pPr>
        <w:spacing w:after="120"/>
      </w:pPr>
    </w:p>
    <w:p w14:paraId="1DD6CDF3" w14:textId="77777777" w:rsidR="00CF21A4" w:rsidRDefault="00000000">
      <w:pPr>
        <w:pStyle w:val="Heading1"/>
        <w:pageBreakBefore/>
        <w:spacing w:before="0"/>
      </w:pPr>
      <w:r>
        <w:lastRenderedPageBreak/>
        <w:t>Appendix B. Source References</w:t>
      </w:r>
    </w:p>
    <w:p w14:paraId="54A79E8B" w14:textId="77777777" w:rsidR="00CF21A4" w:rsidRDefault="00000000">
      <w:pPr>
        <w:spacing w:after="120"/>
      </w:pPr>
      <w:r>
        <w:t>These references informed the factual claims in this document. They are included so that any team member can trace a claim to its source.</w:t>
      </w:r>
    </w:p>
    <w:p w14:paraId="3D7A2E56" w14:textId="77777777" w:rsidR="00CF21A4" w:rsidRDefault="00000000">
      <w:pPr>
        <w:pStyle w:val="ListParagraph"/>
        <w:numPr>
          <w:ilvl w:val="0"/>
          <w:numId w:val="2"/>
        </w:numPr>
        <w:spacing w:after="60"/>
      </w:pPr>
      <w:hyperlink r:id="rId7" w:history="1">
        <w:proofErr w:type="spellStart"/>
        <w:r>
          <w:rPr>
            <w:rStyle w:val="Hyperlink"/>
          </w:rPr>
          <w:t>OpenClaw</w:t>
        </w:r>
        <w:proofErr w:type="spellEnd"/>
        <w:r>
          <w:rPr>
            <w:rStyle w:val="Hyperlink"/>
          </w:rPr>
          <w:t xml:space="preserve"> official site</w:t>
        </w:r>
      </w:hyperlink>
    </w:p>
    <w:p w14:paraId="13506C0A" w14:textId="77777777" w:rsidR="00CF21A4" w:rsidRDefault="00000000">
      <w:pPr>
        <w:pStyle w:val="ListParagraph"/>
        <w:numPr>
          <w:ilvl w:val="0"/>
          <w:numId w:val="2"/>
        </w:numPr>
        <w:spacing w:after="60"/>
      </w:pPr>
      <w:hyperlink r:id="rId8" w:history="1">
        <w:proofErr w:type="spellStart"/>
        <w:r>
          <w:rPr>
            <w:rStyle w:val="Hyperlink"/>
          </w:rPr>
          <w:t>OpenClaw</w:t>
        </w:r>
        <w:proofErr w:type="spellEnd"/>
        <w:r>
          <w:rPr>
            <w:rStyle w:val="Hyperlink"/>
          </w:rPr>
          <w:t xml:space="preserve"> — Wikipedia</w:t>
        </w:r>
      </w:hyperlink>
    </w:p>
    <w:p w14:paraId="0F4D8A76" w14:textId="77777777" w:rsidR="00CF21A4" w:rsidRDefault="00000000">
      <w:pPr>
        <w:pStyle w:val="ListParagraph"/>
        <w:numPr>
          <w:ilvl w:val="0"/>
          <w:numId w:val="2"/>
        </w:numPr>
        <w:spacing w:after="60"/>
      </w:pPr>
      <w:hyperlink r:id="rId9" w:history="1">
        <w:r>
          <w:rPr>
            <w:rStyle w:val="Hyperlink"/>
          </w:rPr>
          <w:t xml:space="preserve">NVIDIA </w:t>
        </w:r>
        <w:proofErr w:type="spellStart"/>
        <w:r>
          <w:rPr>
            <w:rStyle w:val="Hyperlink"/>
          </w:rPr>
          <w:t>NemoClaw</w:t>
        </w:r>
        <w:proofErr w:type="spellEnd"/>
        <w:r>
          <w:rPr>
            <w:rStyle w:val="Hyperlink"/>
          </w:rPr>
          <w:t xml:space="preserve"> — product page</w:t>
        </w:r>
      </w:hyperlink>
    </w:p>
    <w:p w14:paraId="2CC587A4" w14:textId="77777777" w:rsidR="00CF21A4" w:rsidRDefault="00000000">
      <w:pPr>
        <w:pStyle w:val="ListParagraph"/>
        <w:numPr>
          <w:ilvl w:val="0"/>
          <w:numId w:val="2"/>
        </w:numPr>
        <w:spacing w:after="60"/>
      </w:pPr>
      <w:hyperlink r:id="rId10" w:history="1">
        <w:r>
          <w:rPr>
            <w:rStyle w:val="Hyperlink"/>
          </w:rPr>
          <w:t xml:space="preserve">NVIDIA Developer Blog — Secure always-on local AI with </w:t>
        </w:r>
        <w:proofErr w:type="spellStart"/>
        <w:r>
          <w:rPr>
            <w:rStyle w:val="Hyperlink"/>
          </w:rPr>
          <w:t>NemoClaw</w:t>
        </w:r>
        <w:proofErr w:type="spellEnd"/>
        <w:r>
          <w:rPr>
            <w:rStyle w:val="Hyperlink"/>
          </w:rPr>
          <w:t xml:space="preserve"> and </w:t>
        </w:r>
        <w:proofErr w:type="spellStart"/>
        <w:r>
          <w:rPr>
            <w:rStyle w:val="Hyperlink"/>
          </w:rPr>
          <w:t>OpenClaw</w:t>
        </w:r>
        <w:proofErr w:type="spellEnd"/>
      </w:hyperlink>
    </w:p>
    <w:p w14:paraId="30F16FF4" w14:textId="77777777" w:rsidR="00CF21A4" w:rsidRDefault="00000000">
      <w:pPr>
        <w:pStyle w:val="ListParagraph"/>
        <w:numPr>
          <w:ilvl w:val="0"/>
          <w:numId w:val="2"/>
        </w:numPr>
        <w:spacing w:after="60"/>
      </w:pPr>
      <w:hyperlink r:id="rId11" w:history="1">
        <w:r>
          <w:rPr>
            <w:rStyle w:val="Hyperlink"/>
          </w:rPr>
          <w:t xml:space="preserve">CNBC — NVIDIA open-sources </w:t>
        </w:r>
        <w:proofErr w:type="spellStart"/>
        <w:r>
          <w:rPr>
            <w:rStyle w:val="Hyperlink"/>
          </w:rPr>
          <w:t>NemoClaw</w:t>
        </w:r>
        <w:proofErr w:type="spellEnd"/>
        <w:r>
          <w:rPr>
            <w:rStyle w:val="Hyperlink"/>
          </w:rPr>
          <w:t xml:space="preserve"> for enterprises</w:t>
        </w:r>
      </w:hyperlink>
    </w:p>
    <w:p w14:paraId="3960A128" w14:textId="77777777" w:rsidR="00CF21A4" w:rsidRDefault="00000000">
      <w:pPr>
        <w:pStyle w:val="ListParagraph"/>
        <w:numPr>
          <w:ilvl w:val="0"/>
          <w:numId w:val="2"/>
        </w:numPr>
        <w:spacing w:after="60"/>
      </w:pPr>
      <w:hyperlink r:id="rId12" w:history="1">
        <w:r>
          <w:rPr>
            <w:rStyle w:val="Hyperlink"/>
          </w:rPr>
          <w:t>Paperclip — official site</w:t>
        </w:r>
      </w:hyperlink>
    </w:p>
    <w:p w14:paraId="4B135A3E" w14:textId="77777777" w:rsidR="00CF21A4" w:rsidRDefault="00000000">
      <w:pPr>
        <w:pStyle w:val="ListParagraph"/>
        <w:numPr>
          <w:ilvl w:val="0"/>
          <w:numId w:val="2"/>
        </w:numPr>
        <w:spacing w:after="60"/>
      </w:pPr>
      <w:hyperlink r:id="rId13" w:history="1">
        <w:r>
          <w:rPr>
            <w:rStyle w:val="Hyperlink"/>
          </w:rPr>
          <w:t>Paperclip — GitHub</w:t>
        </w:r>
      </w:hyperlink>
    </w:p>
    <w:p w14:paraId="4079C6C7" w14:textId="77777777" w:rsidR="00CF21A4" w:rsidRDefault="00000000">
      <w:pPr>
        <w:pStyle w:val="ListParagraph"/>
        <w:numPr>
          <w:ilvl w:val="0"/>
          <w:numId w:val="2"/>
        </w:numPr>
        <w:spacing w:after="60"/>
      </w:pPr>
      <w:hyperlink r:id="rId14" w:history="1">
        <w:r>
          <w:rPr>
            <w:rStyle w:val="Hyperlink"/>
          </w:rPr>
          <w:t xml:space="preserve">Paperclip vs </w:t>
        </w:r>
        <w:proofErr w:type="spellStart"/>
        <w:r>
          <w:rPr>
            <w:rStyle w:val="Hyperlink"/>
          </w:rPr>
          <w:t>OpenClaw</w:t>
        </w:r>
        <w:proofErr w:type="spellEnd"/>
        <w:r>
          <w:rPr>
            <w:rStyle w:val="Hyperlink"/>
          </w:rPr>
          <w:t xml:space="preserve"> comparison — </w:t>
        </w:r>
        <w:proofErr w:type="spellStart"/>
        <w:r>
          <w:rPr>
            <w:rStyle w:val="Hyperlink"/>
          </w:rPr>
          <w:t>MindStudio</w:t>
        </w:r>
        <w:proofErr w:type="spellEnd"/>
      </w:hyperlink>
    </w:p>
    <w:p w14:paraId="1ACB9A5C" w14:textId="77777777" w:rsidR="00CF21A4" w:rsidRDefault="00000000">
      <w:pPr>
        <w:pStyle w:val="ListParagraph"/>
        <w:numPr>
          <w:ilvl w:val="0"/>
          <w:numId w:val="2"/>
        </w:numPr>
        <w:spacing w:after="60"/>
      </w:pPr>
      <w:hyperlink r:id="rId15" w:history="1">
        <w:r>
          <w:rPr>
            <w:rStyle w:val="Hyperlink"/>
          </w:rPr>
          <w:t>Model Context Protocol — 2026 roadmap</w:t>
        </w:r>
      </w:hyperlink>
    </w:p>
    <w:p w14:paraId="0FED7BA4" w14:textId="77777777" w:rsidR="00CF21A4" w:rsidRDefault="00000000">
      <w:pPr>
        <w:pStyle w:val="ListParagraph"/>
        <w:numPr>
          <w:ilvl w:val="0"/>
          <w:numId w:val="2"/>
        </w:numPr>
        <w:spacing w:after="60"/>
      </w:pPr>
      <w:hyperlink r:id="rId16" w:history="1">
        <w:r>
          <w:rPr>
            <w:rStyle w:val="Hyperlink"/>
          </w:rPr>
          <w:t>CDATA — 2026: The Year for Enterprise-Ready MCP Adoption</w:t>
        </w:r>
      </w:hyperlink>
    </w:p>
    <w:p w14:paraId="24ACE93E" w14:textId="77777777" w:rsidR="00CF21A4" w:rsidRDefault="00000000">
      <w:pPr>
        <w:pStyle w:val="ListParagraph"/>
        <w:numPr>
          <w:ilvl w:val="0"/>
          <w:numId w:val="2"/>
        </w:numPr>
        <w:spacing w:after="60"/>
      </w:pPr>
      <w:hyperlink r:id="rId17" w:history="1">
        <w:r>
          <w:rPr>
            <w:rStyle w:val="Hyperlink"/>
          </w:rPr>
          <w:t>CIO — Why MCP is on every executive agenda</w:t>
        </w:r>
      </w:hyperlink>
    </w:p>
    <w:p w14:paraId="187CBEE0" w14:textId="77777777" w:rsidR="00CF21A4" w:rsidRDefault="00000000">
      <w:pPr>
        <w:pStyle w:val="ListParagraph"/>
        <w:numPr>
          <w:ilvl w:val="0"/>
          <w:numId w:val="2"/>
        </w:numPr>
        <w:spacing w:after="60"/>
      </w:pPr>
      <w:hyperlink r:id="rId18" w:history="1">
        <w:r>
          <w:rPr>
            <w:rStyle w:val="Hyperlink"/>
          </w:rPr>
          <w:t>Mirantis — Securing MCP for mass enterprise adoption</w:t>
        </w:r>
      </w:hyperlink>
    </w:p>
    <w:p w14:paraId="04B35891" w14:textId="77777777" w:rsidR="00CF21A4" w:rsidRDefault="00000000">
      <w:pPr>
        <w:pStyle w:val="ListParagraph"/>
        <w:numPr>
          <w:ilvl w:val="0"/>
          <w:numId w:val="2"/>
        </w:numPr>
        <w:spacing w:after="60"/>
      </w:pPr>
      <w:hyperlink r:id="rId19" w:history="1">
        <w:r>
          <w:rPr>
            <w:rStyle w:val="Hyperlink"/>
          </w:rPr>
          <w:t>Kong — Build vs Buy: Hidden Costs of DIY MCP Servers</w:t>
        </w:r>
      </w:hyperlink>
    </w:p>
    <w:p w14:paraId="6F596733" w14:textId="77777777" w:rsidR="00CF21A4" w:rsidRDefault="00000000">
      <w:pPr>
        <w:pStyle w:val="ListParagraph"/>
        <w:numPr>
          <w:ilvl w:val="0"/>
          <w:numId w:val="2"/>
        </w:numPr>
        <w:spacing w:after="60"/>
      </w:pPr>
      <w:hyperlink r:id="rId20" w:history="1">
        <w:proofErr w:type="spellStart"/>
        <w:r>
          <w:rPr>
            <w:rStyle w:val="Hyperlink"/>
          </w:rPr>
          <w:t>MintMCP</w:t>
        </w:r>
        <w:proofErr w:type="spellEnd"/>
        <w:r>
          <w:rPr>
            <w:rStyle w:val="Hyperlink"/>
          </w:rPr>
          <w:t xml:space="preserve"> — AI agent security: the complete enterprise guide for 2026</w:t>
        </w:r>
      </w:hyperlink>
    </w:p>
    <w:p w14:paraId="53D8F607" w14:textId="77777777" w:rsidR="00CF21A4" w:rsidRDefault="00000000">
      <w:pPr>
        <w:pStyle w:val="ListParagraph"/>
        <w:numPr>
          <w:ilvl w:val="0"/>
          <w:numId w:val="2"/>
        </w:numPr>
        <w:spacing w:after="60"/>
      </w:pPr>
      <w:hyperlink r:id="rId21" w:history="1">
        <w:r>
          <w:rPr>
            <w:rStyle w:val="Hyperlink"/>
          </w:rPr>
          <w:t xml:space="preserve">Practical </w:t>
        </w:r>
        <w:proofErr w:type="spellStart"/>
        <w:r>
          <w:rPr>
            <w:rStyle w:val="Hyperlink"/>
          </w:rPr>
          <w:t>DevSecOps</w:t>
        </w:r>
        <w:proofErr w:type="spellEnd"/>
        <w:r>
          <w:rPr>
            <w:rStyle w:val="Hyperlink"/>
          </w:rPr>
          <w:t xml:space="preserve"> — MCP security vulnerabilities (2026)</w:t>
        </w:r>
      </w:hyperlink>
    </w:p>
    <w:p w14:paraId="456356F7" w14:textId="77777777" w:rsidR="00CF21A4" w:rsidRDefault="00000000">
      <w:pPr>
        <w:pStyle w:val="ListParagraph"/>
        <w:numPr>
          <w:ilvl w:val="0"/>
          <w:numId w:val="2"/>
        </w:numPr>
        <w:spacing w:after="60"/>
      </w:pPr>
      <w:hyperlink r:id="rId22" w:history="1">
        <w:r>
          <w:rPr>
            <w:rStyle w:val="Hyperlink"/>
          </w:rPr>
          <w:t>Coalition for Secure AI — Practical guide to MCP security</w:t>
        </w:r>
      </w:hyperlink>
    </w:p>
    <w:p w14:paraId="0F0C1534" w14:textId="77777777" w:rsidR="00CF21A4" w:rsidRDefault="00000000">
      <w:pPr>
        <w:pStyle w:val="ListParagraph"/>
        <w:numPr>
          <w:ilvl w:val="0"/>
          <w:numId w:val="2"/>
        </w:numPr>
        <w:spacing w:after="60"/>
      </w:pPr>
      <w:hyperlink r:id="rId23" w:history="1">
        <w:r>
          <w:rPr>
            <w:rStyle w:val="Hyperlink"/>
          </w:rPr>
          <w:t>Gartner — 40% of enterprise apps to feature task-specific AI agents by 2026</w:t>
        </w:r>
      </w:hyperlink>
    </w:p>
    <w:p w14:paraId="5D962CB4" w14:textId="77777777" w:rsidR="00CF21A4" w:rsidRDefault="00000000">
      <w:pPr>
        <w:pStyle w:val="ListParagraph"/>
        <w:numPr>
          <w:ilvl w:val="0"/>
          <w:numId w:val="2"/>
        </w:numPr>
        <w:spacing w:after="60"/>
      </w:pPr>
      <w:hyperlink r:id="rId24" w:history="1">
        <w:r>
          <w:rPr>
            <w:rStyle w:val="Hyperlink"/>
          </w:rPr>
          <w:t>Deloitte Insights — Agentic AI strategy</w:t>
        </w:r>
      </w:hyperlink>
    </w:p>
    <w:p w14:paraId="653DD3CC" w14:textId="77777777" w:rsidR="00CF21A4" w:rsidRDefault="00000000">
      <w:pPr>
        <w:pStyle w:val="ListParagraph"/>
        <w:numPr>
          <w:ilvl w:val="0"/>
          <w:numId w:val="2"/>
        </w:numPr>
        <w:spacing w:after="60"/>
      </w:pPr>
      <w:hyperlink r:id="rId25" w:history="1">
        <w:r>
          <w:rPr>
            <w:rStyle w:val="Hyperlink"/>
          </w:rPr>
          <w:t>NIST — AI Risk Management Framework</w:t>
        </w:r>
      </w:hyperlink>
    </w:p>
    <w:p w14:paraId="0FF33438" w14:textId="77777777" w:rsidR="00CF21A4" w:rsidRDefault="00000000">
      <w:pPr>
        <w:pStyle w:val="ListParagraph"/>
        <w:numPr>
          <w:ilvl w:val="0"/>
          <w:numId w:val="2"/>
        </w:numPr>
        <w:spacing w:after="60"/>
      </w:pPr>
      <w:hyperlink r:id="rId26" w:history="1">
        <w:r>
          <w:rPr>
            <w:rStyle w:val="Hyperlink"/>
          </w:rPr>
          <w:t>Cloud Security Alliance — ISO 42001 &amp; NIST AI RMF to help with the EU AI Act</w:t>
        </w:r>
      </w:hyperlink>
    </w:p>
    <w:p w14:paraId="00270C88" w14:textId="77777777" w:rsidR="00CF21A4" w:rsidRDefault="00000000">
      <w:pPr>
        <w:pStyle w:val="ListParagraph"/>
        <w:numPr>
          <w:ilvl w:val="0"/>
          <w:numId w:val="2"/>
        </w:numPr>
        <w:spacing w:after="60"/>
      </w:pPr>
      <w:hyperlink r:id="rId27" w:history="1">
        <w:r>
          <w:rPr>
            <w:rStyle w:val="Hyperlink"/>
          </w:rPr>
          <w:t>Sombra — AI regulations 2026 guide</w:t>
        </w:r>
      </w:hyperlink>
    </w:p>
    <w:p w14:paraId="75187C1E" w14:textId="77777777" w:rsidR="00CF21A4" w:rsidRDefault="00000000">
      <w:pPr>
        <w:pStyle w:val="ListParagraph"/>
        <w:numPr>
          <w:ilvl w:val="0"/>
          <w:numId w:val="2"/>
        </w:numPr>
        <w:spacing w:after="60"/>
      </w:pPr>
      <w:hyperlink r:id="rId28" w:history="1">
        <w:proofErr w:type="spellStart"/>
        <w:r>
          <w:rPr>
            <w:rStyle w:val="Hyperlink"/>
          </w:rPr>
          <w:t>SparkCo</w:t>
        </w:r>
        <w:proofErr w:type="spellEnd"/>
        <w:r>
          <w:rPr>
            <w:rStyle w:val="Hyperlink"/>
          </w:rPr>
          <w:t xml:space="preserve"> — </w:t>
        </w:r>
        <w:proofErr w:type="spellStart"/>
        <w:r>
          <w:rPr>
            <w:rStyle w:val="Hyperlink"/>
          </w:rPr>
          <w:t>LangChain</w:t>
        </w:r>
        <w:proofErr w:type="spellEnd"/>
        <w:r>
          <w:rPr>
            <w:rStyle w:val="Hyperlink"/>
          </w:rPr>
          <w:t xml:space="preserve"> vs </w:t>
        </w:r>
        <w:proofErr w:type="spellStart"/>
        <w:r>
          <w:rPr>
            <w:rStyle w:val="Hyperlink"/>
          </w:rPr>
          <w:t>AutoGen</w:t>
        </w:r>
        <w:proofErr w:type="spellEnd"/>
        <w:r>
          <w:rPr>
            <w:rStyle w:val="Hyperlink"/>
          </w:rPr>
          <w:t xml:space="preserve"> vs </w:t>
        </w:r>
        <w:proofErr w:type="spellStart"/>
        <w:r>
          <w:rPr>
            <w:rStyle w:val="Hyperlink"/>
          </w:rPr>
          <w:t>CrewAI</w:t>
        </w:r>
        <w:proofErr w:type="spellEnd"/>
        <w:r>
          <w:rPr>
            <w:rStyle w:val="Hyperlink"/>
          </w:rPr>
          <w:t xml:space="preserve"> vs </w:t>
        </w:r>
        <w:proofErr w:type="spellStart"/>
        <w:r>
          <w:rPr>
            <w:rStyle w:val="Hyperlink"/>
          </w:rPr>
          <w:t>OpenClaw</w:t>
        </w:r>
        <w:proofErr w:type="spellEnd"/>
        <w:r>
          <w:rPr>
            <w:rStyle w:val="Hyperlink"/>
          </w:rPr>
          <w:t xml:space="preserve"> (2026)</w:t>
        </w:r>
      </w:hyperlink>
    </w:p>
    <w:p w14:paraId="475E8C60" w14:textId="77777777" w:rsidR="00CF21A4" w:rsidRDefault="00000000">
      <w:pPr>
        <w:pStyle w:val="ListParagraph"/>
        <w:numPr>
          <w:ilvl w:val="0"/>
          <w:numId w:val="2"/>
        </w:numPr>
        <w:spacing w:after="60"/>
      </w:pPr>
      <w:hyperlink r:id="rId29" w:history="1">
        <w:proofErr w:type="spellStart"/>
        <w:r>
          <w:rPr>
            <w:rStyle w:val="Hyperlink"/>
          </w:rPr>
          <w:t>Epicflow</w:t>
        </w:r>
        <w:proofErr w:type="spellEnd"/>
        <w:r>
          <w:rPr>
            <w:rStyle w:val="Hyperlink"/>
          </w:rPr>
          <w:t xml:space="preserve"> — AI agents for project management (2026)</w:t>
        </w:r>
      </w:hyperlink>
    </w:p>
    <w:sectPr w:rsidR="00CF21A4">
      <w:headerReference w:type="default" r:id="rId30"/>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D6DAB" w14:textId="77777777" w:rsidR="00CD5B24" w:rsidRDefault="00CD5B24">
      <w:r>
        <w:separator/>
      </w:r>
    </w:p>
  </w:endnote>
  <w:endnote w:type="continuationSeparator" w:id="0">
    <w:p w14:paraId="270FB55D" w14:textId="77777777" w:rsidR="00CD5B24" w:rsidRDefault="00CD5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ABB5" w14:textId="77777777" w:rsidR="00CF21A4"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76CE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76CE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22D14" w14:textId="77777777" w:rsidR="00CD5B24" w:rsidRDefault="00CD5B24">
      <w:r>
        <w:separator/>
      </w:r>
    </w:p>
  </w:footnote>
  <w:footnote w:type="continuationSeparator" w:id="0">
    <w:p w14:paraId="53380663" w14:textId="77777777" w:rsidR="00CD5B24" w:rsidRDefault="00CD5B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64AE4" w14:textId="77777777" w:rsidR="00CF21A4" w:rsidRDefault="00000000">
    <w:pPr>
      <w:jc w:val="right"/>
    </w:pPr>
    <w:r>
      <w:rPr>
        <w:color w:val="888888"/>
        <w:sz w:val="18"/>
        <w:szCs w:val="18"/>
      </w:rPr>
      <w:t>AI Strategy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9C6"/>
    <w:multiLevelType w:val="hybridMultilevel"/>
    <w:tmpl w:val="2CA64726"/>
    <w:lvl w:ilvl="0" w:tplc="FA647C20">
      <w:start w:val="1"/>
      <w:numFmt w:val="decimal"/>
      <w:lvlText w:val="%1."/>
      <w:lvlJc w:val="left"/>
      <w:pPr>
        <w:ind w:left="720" w:hanging="360"/>
      </w:pPr>
    </w:lvl>
    <w:lvl w:ilvl="1" w:tplc="7C0C40E0">
      <w:numFmt w:val="decimal"/>
      <w:lvlText w:val=""/>
      <w:lvlJc w:val="left"/>
    </w:lvl>
    <w:lvl w:ilvl="2" w:tplc="3D1605EE">
      <w:numFmt w:val="decimal"/>
      <w:lvlText w:val=""/>
      <w:lvlJc w:val="left"/>
    </w:lvl>
    <w:lvl w:ilvl="3" w:tplc="DAF43E7C">
      <w:numFmt w:val="decimal"/>
      <w:lvlText w:val=""/>
      <w:lvlJc w:val="left"/>
    </w:lvl>
    <w:lvl w:ilvl="4" w:tplc="AECC388E">
      <w:numFmt w:val="decimal"/>
      <w:lvlText w:val=""/>
      <w:lvlJc w:val="left"/>
    </w:lvl>
    <w:lvl w:ilvl="5" w:tplc="12A45DEE">
      <w:numFmt w:val="decimal"/>
      <w:lvlText w:val=""/>
      <w:lvlJc w:val="left"/>
    </w:lvl>
    <w:lvl w:ilvl="6" w:tplc="EFE278F6">
      <w:numFmt w:val="decimal"/>
      <w:lvlText w:val=""/>
      <w:lvlJc w:val="left"/>
    </w:lvl>
    <w:lvl w:ilvl="7" w:tplc="03B23BA0">
      <w:numFmt w:val="decimal"/>
      <w:lvlText w:val=""/>
      <w:lvlJc w:val="left"/>
    </w:lvl>
    <w:lvl w:ilvl="8" w:tplc="D62A94A0">
      <w:numFmt w:val="decimal"/>
      <w:lvlText w:val=""/>
      <w:lvlJc w:val="left"/>
    </w:lvl>
  </w:abstractNum>
  <w:abstractNum w:abstractNumId="1" w15:restartNumberingAfterBreak="0">
    <w:nsid w:val="3E493BD0"/>
    <w:multiLevelType w:val="hybridMultilevel"/>
    <w:tmpl w:val="A11A0112"/>
    <w:lvl w:ilvl="0" w:tplc="82D8099E">
      <w:start w:val="1"/>
      <w:numFmt w:val="bullet"/>
      <w:lvlText w:val="•"/>
      <w:lvlJc w:val="left"/>
      <w:pPr>
        <w:ind w:left="720" w:hanging="360"/>
      </w:pPr>
    </w:lvl>
    <w:lvl w:ilvl="1" w:tplc="558C5A94">
      <w:start w:val="1"/>
      <w:numFmt w:val="bullet"/>
      <w:lvlText w:val="◦"/>
      <w:lvlJc w:val="left"/>
      <w:pPr>
        <w:ind w:left="1440" w:hanging="360"/>
      </w:pPr>
    </w:lvl>
    <w:lvl w:ilvl="2" w:tplc="76EEFC26">
      <w:numFmt w:val="decimal"/>
      <w:lvlText w:val=""/>
      <w:lvlJc w:val="left"/>
    </w:lvl>
    <w:lvl w:ilvl="3" w:tplc="ED9E512C">
      <w:numFmt w:val="decimal"/>
      <w:lvlText w:val=""/>
      <w:lvlJc w:val="left"/>
    </w:lvl>
    <w:lvl w:ilvl="4" w:tplc="9EF81522">
      <w:numFmt w:val="decimal"/>
      <w:lvlText w:val=""/>
      <w:lvlJc w:val="left"/>
    </w:lvl>
    <w:lvl w:ilvl="5" w:tplc="14D0C778">
      <w:numFmt w:val="decimal"/>
      <w:lvlText w:val=""/>
      <w:lvlJc w:val="left"/>
    </w:lvl>
    <w:lvl w:ilvl="6" w:tplc="E7880522">
      <w:numFmt w:val="decimal"/>
      <w:lvlText w:val=""/>
      <w:lvlJc w:val="left"/>
    </w:lvl>
    <w:lvl w:ilvl="7" w:tplc="54440A1C">
      <w:numFmt w:val="decimal"/>
      <w:lvlText w:val=""/>
      <w:lvlJc w:val="left"/>
    </w:lvl>
    <w:lvl w:ilvl="8" w:tplc="51A4560E">
      <w:numFmt w:val="decimal"/>
      <w:lvlText w:val=""/>
      <w:lvlJc w:val="left"/>
    </w:lvl>
  </w:abstractNum>
  <w:abstractNum w:abstractNumId="2" w15:restartNumberingAfterBreak="0">
    <w:nsid w:val="4F9D7976"/>
    <w:multiLevelType w:val="hybridMultilevel"/>
    <w:tmpl w:val="0F441CC6"/>
    <w:lvl w:ilvl="0" w:tplc="273C8A2A">
      <w:start w:val="1"/>
      <w:numFmt w:val="bullet"/>
      <w:lvlText w:val="●"/>
      <w:lvlJc w:val="left"/>
      <w:pPr>
        <w:ind w:left="720" w:hanging="360"/>
      </w:pPr>
    </w:lvl>
    <w:lvl w:ilvl="1" w:tplc="EC82FF7A">
      <w:start w:val="1"/>
      <w:numFmt w:val="bullet"/>
      <w:lvlText w:val="○"/>
      <w:lvlJc w:val="left"/>
      <w:pPr>
        <w:ind w:left="1440" w:hanging="360"/>
      </w:pPr>
    </w:lvl>
    <w:lvl w:ilvl="2" w:tplc="B7780FEA">
      <w:start w:val="1"/>
      <w:numFmt w:val="bullet"/>
      <w:lvlText w:val="■"/>
      <w:lvlJc w:val="left"/>
      <w:pPr>
        <w:ind w:left="2160" w:hanging="360"/>
      </w:pPr>
    </w:lvl>
    <w:lvl w:ilvl="3" w:tplc="ED209386">
      <w:start w:val="1"/>
      <w:numFmt w:val="bullet"/>
      <w:lvlText w:val="●"/>
      <w:lvlJc w:val="left"/>
      <w:pPr>
        <w:ind w:left="2880" w:hanging="360"/>
      </w:pPr>
    </w:lvl>
    <w:lvl w:ilvl="4" w:tplc="001C8F82">
      <w:start w:val="1"/>
      <w:numFmt w:val="bullet"/>
      <w:lvlText w:val="○"/>
      <w:lvlJc w:val="left"/>
      <w:pPr>
        <w:ind w:left="3600" w:hanging="360"/>
      </w:pPr>
    </w:lvl>
    <w:lvl w:ilvl="5" w:tplc="0FD23DE0">
      <w:start w:val="1"/>
      <w:numFmt w:val="bullet"/>
      <w:lvlText w:val="■"/>
      <w:lvlJc w:val="left"/>
      <w:pPr>
        <w:ind w:left="4320" w:hanging="360"/>
      </w:pPr>
    </w:lvl>
    <w:lvl w:ilvl="6" w:tplc="07F0CA04">
      <w:start w:val="1"/>
      <w:numFmt w:val="bullet"/>
      <w:lvlText w:val="●"/>
      <w:lvlJc w:val="left"/>
      <w:pPr>
        <w:ind w:left="5040" w:hanging="360"/>
      </w:pPr>
    </w:lvl>
    <w:lvl w:ilvl="7" w:tplc="954AB7B2">
      <w:start w:val="1"/>
      <w:numFmt w:val="bullet"/>
      <w:lvlText w:val="●"/>
      <w:lvlJc w:val="left"/>
      <w:pPr>
        <w:ind w:left="5760" w:hanging="360"/>
      </w:pPr>
    </w:lvl>
    <w:lvl w:ilvl="8" w:tplc="A2B0B6BC">
      <w:start w:val="1"/>
      <w:numFmt w:val="bullet"/>
      <w:lvlText w:val="●"/>
      <w:lvlJc w:val="left"/>
      <w:pPr>
        <w:ind w:left="6480" w:hanging="360"/>
      </w:pPr>
    </w:lvl>
  </w:abstractNum>
  <w:num w:numId="1" w16cid:durableId="1589389457">
    <w:abstractNumId w:val="2"/>
    <w:lvlOverride w:ilvl="0">
      <w:startOverride w:val="1"/>
    </w:lvlOverride>
  </w:num>
  <w:num w:numId="2" w16cid:durableId="2226452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1A4"/>
    <w:rsid w:val="001176B5"/>
    <w:rsid w:val="00676CE1"/>
    <w:rsid w:val="00CD5B24"/>
    <w:rsid w:val="00CF2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ECAB3B"/>
  <w15:docId w15:val="{F3E811DC-8145-D94E-B994-736282B4C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A5F"/>
      <w:sz w:val="36"/>
      <w:szCs w:val="36"/>
    </w:rPr>
  </w:style>
  <w:style w:type="paragraph" w:styleId="Heading2">
    <w:name w:val="heading 2"/>
    <w:uiPriority w:val="9"/>
    <w:unhideWhenUsed/>
    <w:qFormat/>
    <w:pPr>
      <w:spacing w:before="240" w:after="120"/>
      <w:outlineLvl w:val="1"/>
    </w:pPr>
    <w:rPr>
      <w:b/>
      <w:bCs/>
      <w:color w:val="1F3A5F"/>
      <w:sz w:val="28"/>
      <w:szCs w:val="28"/>
    </w:rPr>
  </w:style>
  <w:style w:type="paragraph" w:styleId="Heading3">
    <w:name w:val="heading 3"/>
    <w:uiPriority w:val="9"/>
    <w:unhideWhenUsed/>
    <w:qFormat/>
    <w:pPr>
      <w:spacing w:before="180" w:after="80"/>
      <w:outlineLvl w:val="2"/>
    </w:pPr>
    <w:rPr>
      <w:b/>
      <w:bCs/>
      <w:color w:val="3A5F8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paperclipai/paperclip" TargetMode="External"/><Relationship Id="rId18" Type="http://schemas.openxmlformats.org/officeDocument/2006/relationships/hyperlink" Target="https://www.mirantis.com/blog/securing-model-context-protocol-for-mass-enterprise-adoption/" TargetMode="External"/><Relationship Id="rId26" Type="http://schemas.openxmlformats.org/officeDocument/2006/relationships/hyperlink" Target="https://cloudsecurityalliance.org/blog/2025/01/29/how-can-iso-iec-42001-nist-ai-rmf-help-comply-with-the-eu-ai-act" TargetMode="External"/><Relationship Id="rId3" Type="http://schemas.openxmlformats.org/officeDocument/2006/relationships/settings" Target="settings.xml"/><Relationship Id="rId21" Type="http://schemas.openxmlformats.org/officeDocument/2006/relationships/hyperlink" Target="https://www.practical-devsecops.com/mcp-security-vulnerabilities/" TargetMode="External"/><Relationship Id="rId7" Type="http://schemas.openxmlformats.org/officeDocument/2006/relationships/hyperlink" Target="https://openclaw.ai/" TargetMode="External"/><Relationship Id="rId12" Type="http://schemas.openxmlformats.org/officeDocument/2006/relationships/hyperlink" Target="https://paperclip.ing/" TargetMode="External"/><Relationship Id="rId17" Type="http://schemas.openxmlformats.org/officeDocument/2006/relationships/hyperlink" Target="https://www.cio.com/article/4136548/why-model-context-protocol-is-suddenly-on-every-executive-agenda.html" TargetMode="External"/><Relationship Id="rId25" Type="http://schemas.openxmlformats.org/officeDocument/2006/relationships/hyperlink" Target="https://www.nist.gov/itl/ai-risk-management-framework"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data.com/blog/2026-year-enterprise-ready-mcp-adoption" TargetMode="External"/><Relationship Id="rId20" Type="http://schemas.openxmlformats.org/officeDocument/2006/relationships/hyperlink" Target="https://www.mintmcp.com/blog/ai-agent-security" TargetMode="External"/><Relationship Id="rId29" Type="http://schemas.openxmlformats.org/officeDocument/2006/relationships/hyperlink" Target="https://www.epicflow.com/blog/ai-agents-for-project-manage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nbc.com/2026/03/10/nvidia-open-source-ai-agent-platform-nemoclaw-wired-agentic-tools-openclaw-clawdbot-moltbot.html" TargetMode="External"/><Relationship Id="rId24" Type="http://schemas.openxmlformats.org/officeDocument/2006/relationships/hyperlink" Target="https://www.deloitte.com/us/en/insights/topics/technology-management/tech-trends/2026/agentic-ai-strategy.html"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blog.modelcontextprotocol.io/posts/2026-mcp-roadmap/" TargetMode="External"/><Relationship Id="rId23" Type="http://schemas.openxmlformats.org/officeDocument/2006/relationships/hyperlink" Target="https://www.gartner.com/en/newsroom/press-releases/2025-08-26-gartner-predicts-40-percent-of-enterprise-apps-will-feature-task-specific-ai-agents-by-2026-up-from-less-than-5-percent-in-2025" TargetMode="External"/><Relationship Id="rId28" Type="http://schemas.openxmlformats.org/officeDocument/2006/relationships/hyperlink" Target="https://sparkco.ai/blog/ai-agent-frameworks-compared-langchain-autogen-crewai-and-openclaw-in-2026" TargetMode="External"/><Relationship Id="rId10" Type="http://schemas.openxmlformats.org/officeDocument/2006/relationships/hyperlink" Target="https://developer.nvidia.com/blog/build-a-secure-always-on-local-ai-agent-with-nvidia-nemoclaw-and-openclaw/" TargetMode="External"/><Relationship Id="rId19" Type="http://schemas.openxmlformats.org/officeDocument/2006/relationships/hyperlink" Target="https://konghq.com/blog/enterprise/build-vs-buy-mcp-server-infrastructure"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nvidia.com/en-us/ai/nemoclaw/" TargetMode="External"/><Relationship Id="rId14" Type="http://schemas.openxmlformats.org/officeDocument/2006/relationships/hyperlink" Target="https://www.mindstudio.ai/blog/paperclip-vs-openclaw-multi-agent-system-comparison" TargetMode="External"/><Relationship Id="rId22" Type="http://schemas.openxmlformats.org/officeDocument/2006/relationships/hyperlink" Target="https://www.coalitionforsecureai.org/securing-the-ai-agent-revolution-a-practical-guide-to-mcp-security/" TargetMode="External"/><Relationship Id="rId27" Type="http://schemas.openxmlformats.org/officeDocument/2006/relationships/hyperlink" Target="https://sombrainc.com/blog/ai-regulations-2026-eu-ai-act" TargetMode="External"/><Relationship Id="rId30" Type="http://schemas.openxmlformats.org/officeDocument/2006/relationships/header" Target="header1.xml"/><Relationship Id="rId8" Type="http://schemas.openxmlformats.org/officeDocument/2006/relationships/hyperlink" Target="https://en.wikipedia.org/wiki/OpenC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4809</Words>
  <Characters>27415</Characters>
  <Application>Microsoft Office Word</Application>
  <DocSecurity>0</DocSecurity>
  <Lines>228</Lines>
  <Paragraphs>64</Paragraphs>
  <ScaleCrop>false</ScaleCrop>
  <Company/>
  <LinksUpToDate>false</LinksUpToDate>
  <CharactersWithSpaces>32160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Strategy</dc:title>
  <dc:creator>AI Strategy Team</dc:creator>
  <dc:description>Internal AI strategy document</dc:description>
  <cp:lastModifiedBy>James Tootill</cp:lastModifiedBy>
  <cp:revision>2</cp:revision>
  <dcterms:created xsi:type="dcterms:W3CDTF">2026-04-20T20:54:00Z</dcterms:created>
  <dcterms:modified xsi:type="dcterms:W3CDTF">2026-04-20T20:54:00Z</dcterms:modified>
</cp:coreProperties>
</file>