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1F233" w14:textId="77777777" w:rsidR="00536FE8" w:rsidRDefault="00000000">
      <w:pPr>
        <w:pStyle w:val="Title"/>
        <w:jc w:val="center"/>
        <w:rPr>
          <w:rFonts w:ascii="Times New Roman" w:eastAsia="Times New Roman" w:hAnsi="Times New Roman" w:cs="Times New Roman"/>
          <w:b/>
          <w:bCs/>
          <w:sz w:val="58"/>
          <w:szCs w:val="58"/>
        </w:rPr>
      </w:pPr>
      <w:bookmarkStart w:id="0" w:name="_7hb6qlmsu9no" w:colFirst="0" w:colLast="0"/>
      <w:bookmarkEnd w:id="0"/>
      <w:r>
        <w:rPr>
          <w:rFonts w:ascii="Times New Roman" w:eastAsia="Times New Roman" w:hAnsi="Times New Roman" w:cs="Times New Roman"/>
          <w:b/>
          <w:bCs/>
          <w:sz w:val="58"/>
          <w:szCs w:val="58"/>
        </w:rPr>
        <w:t>AIRERA</w:t>
      </w:r>
    </w:p>
    <w:p w14:paraId="375557BC" w14:textId="77777777" w:rsidR="00536FE8" w:rsidRDefault="00000000">
      <w:pPr>
        <w:pStyle w:val="Subtitle"/>
        <w:jc w:val="center"/>
        <w:rPr>
          <w:sz w:val="36"/>
          <w:szCs w:val="36"/>
        </w:rPr>
      </w:pPr>
      <w:bookmarkStart w:id="1" w:name="_sv8t6o57hh4j" w:colFirst="0" w:colLast="0"/>
      <w:bookmarkEnd w:id="1"/>
      <w:r>
        <w:rPr>
          <w:rFonts w:ascii="Times New Roman" w:eastAsia="Times New Roman" w:hAnsi="Times New Roman" w:cs="Times New Roman"/>
          <w:sz w:val="36"/>
          <w:szCs w:val="36"/>
        </w:rPr>
        <w:t>A Software Reference Architecture for Natural Language Processing Tools in Requirements Engineering</w:t>
      </w:r>
    </w:p>
    <w:p w14:paraId="601397FE" w14:textId="77777777" w:rsidR="00536FE8" w:rsidRDefault="00000000">
      <w:pPr>
        <w:pStyle w:val="Heading2"/>
        <w:jc w:val="both"/>
        <w:rPr>
          <w:rFonts w:ascii="Times New Roman" w:eastAsia="Times New Roman" w:hAnsi="Times New Roman" w:cs="Times New Roman"/>
        </w:rPr>
      </w:pPr>
      <w:bookmarkStart w:id="2" w:name="_4usj34q08ar2" w:colFirst="0" w:colLast="0"/>
      <w:bookmarkEnd w:id="2"/>
      <w:r>
        <w:rPr>
          <w:rFonts w:ascii="Times New Roman" w:eastAsia="Times New Roman" w:hAnsi="Times New Roman" w:cs="Times New Roman"/>
        </w:rPr>
        <w:t>1. Introduction</w:t>
      </w:r>
    </w:p>
    <w:p w14:paraId="6ABADD2A"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Context and Motivation. </w:t>
      </w:r>
      <w:r>
        <w:rPr>
          <w:rFonts w:ascii="Times New Roman" w:eastAsia="Times New Roman" w:hAnsi="Times New Roman" w:cs="Times New Roman"/>
        </w:rPr>
        <w:t>Natural Language Processing tools are widely used to support Requirements Engineering tasks such as elicitation, classification, traceability, and validation [1]. Despite recurring functional similarities, existing NLP4RE tools are typically developed as monolithic, standalone systems. This practice leads to duplicated implementation effort, limited interoperability, poor comparability across tools, and low long-term maintainability [1, 2, 3].</w:t>
      </w:r>
    </w:p>
    <w:p w14:paraId="1DC371B2" w14:textId="77777777" w:rsidR="00536FE8" w:rsidRDefault="00536FE8">
      <w:pPr>
        <w:jc w:val="both"/>
        <w:rPr>
          <w:rFonts w:ascii="Times New Roman" w:eastAsia="Times New Roman" w:hAnsi="Times New Roman" w:cs="Times New Roman"/>
        </w:rPr>
      </w:pPr>
    </w:p>
    <w:p w14:paraId="6DED808B"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Goal. </w:t>
      </w:r>
      <w:r>
        <w:rPr>
          <w:rFonts w:ascii="Times New Roman" w:eastAsia="Times New Roman" w:hAnsi="Times New Roman" w:cs="Times New Roman"/>
        </w:rPr>
        <w:t>The main goal of this initiative is to shift away from isolated, monolithic tools towards</w:t>
      </w:r>
      <w:r>
        <w:rPr>
          <w:rFonts w:ascii="Times New Roman" w:eastAsia="Times New Roman" w:hAnsi="Times New Roman" w:cs="Times New Roman"/>
          <w:i/>
          <w:iCs/>
        </w:rPr>
        <w:t xml:space="preserve"> an ecosystem of interoperable and reusable modules,</w:t>
      </w:r>
      <w:r>
        <w:rPr>
          <w:rFonts w:ascii="Times New Roman" w:eastAsia="Times New Roman" w:hAnsi="Times New Roman" w:cs="Times New Roman"/>
        </w:rPr>
        <w:t xml:space="preserve"> as exemplified in the figure below.</w:t>
      </w:r>
    </w:p>
    <w:p w14:paraId="4B694E41" w14:textId="77777777" w:rsidR="00536FE8" w:rsidRDefault="00536FE8">
      <w:pPr>
        <w:jc w:val="both"/>
        <w:rPr>
          <w:rFonts w:ascii="Times New Roman" w:eastAsia="Times New Roman" w:hAnsi="Times New Roman" w:cs="Times New Roman"/>
          <w:i/>
          <w:iCs/>
        </w:rPr>
      </w:pPr>
    </w:p>
    <w:p w14:paraId="21EBF3E6"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B926F3" wp14:editId="43183003">
            <wp:extent cx="5734050" cy="16706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4050" cy="1670675"/>
                    </a:xfrm>
                    <a:prstGeom prst="rect">
                      <a:avLst/>
                    </a:prstGeom>
                    <a:ln/>
                  </pic:spPr>
                </pic:pic>
              </a:graphicData>
            </a:graphic>
          </wp:inline>
        </w:drawing>
      </w:r>
    </w:p>
    <w:p w14:paraId="73F881B0" w14:textId="77777777" w:rsidR="00536FE8" w:rsidRDefault="00000000">
      <w:pPr>
        <w:jc w:val="center"/>
        <w:rPr>
          <w:rFonts w:ascii="Times New Roman" w:eastAsia="Times New Roman" w:hAnsi="Times New Roman" w:cs="Times New Roman"/>
          <w:i/>
          <w:iCs/>
        </w:rPr>
      </w:pPr>
      <w:r>
        <w:rPr>
          <w:rFonts w:ascii="Times New Roman" w:eastAsia="Times New Roman" w:hAnsi="Times New Roman" w:cs="Times New Roman"/>
          <w:i/>
          <w:iCs/>
        </w:rPr>
        <w:t xml:space="preserve">Figure 1. Envisioned shift of the NLP4RE tool landscape at the example of the tool </w:t>
      </w:r>
      <w:proofErr w:type="spellStart"/>
      <w:r>
        <w:rPr>
          <w:rFonts w:ascii="Times New Roman" w:eastAsia="Times New Roman" w:hAnsi="Times New Roman" w:cs="Times New Roman"/>
          <w:i/>
          <w:iCs/>
        </w:rPr>
        <w:t>CiRA</w:t>
      </w:r>
      <w:proofErr w:type="spellEnd"/>
      <w:r>
        <w:rPr>
          <w:rFonts w:ascii="Times New Roman" w:eastAsia="Times New Roman" w:hAnsi="Times New Roman" w:cs="Times New Roman"/>
          <w:i/>
          <w:iCs/>
        </w:rPr>
        <w:t xml:space="preserve"> [7]</w:t>
      </w:r>
    </w:p>
    <w:p w14:paraId="1F94338D" w14:textId="77777777" w:rsidR="00536FE8" w:rsidRDefault="00536FE8">
      <w:pPr>
        <w:jc w:val="both"/>
        <w:rPr>
          <w:rFonts w:ascii="Times New Roman" w:eastAsia="Times New Roman" w:hAnsi="Times New Roman" w:cs="Times New Roman"/>
        </w:rPr>
      </w:pPr>
    </w:p>
    <w:p w14:paraId="138A7062"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Contribution. </w:t>
      </w:r>
      <w:r>
        <w:rPr>
          <w:rFonts w:ascii="Times New Roman" w:eastAsia="Times New Roman" w:hAnsi="Times New Roman" w:cs="Times New Roman"/>
        </w:rPr>
        <w:t xml:space="preserve">To achieve this, we present AIRERA, a Software Reference Architecture (SRA) for NLP4RE tools. </w:t>
      </w:r>
    </w:p>
    <w:p w14:paraId="41061001" w14:textId="77777777" w:rsidR="00536FE8" w:rsidRDefault="00536FE8">
      <w:pPr>
        <w:jc w:val="both"/>
        <w:rPr>
          <w:rFonts w:ascii="Times New Roman" w:eastAsia="Times New Roman" w:hAnsi="Times New Roman" w:cs="Times New Roman"/>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36FE8" w14:paraId="5654560F" w14:textId="77777777">
        <w:tc>
          <w:tcPr>
            <w:tcW w:w="9029" w:type="dxa"/>
            <w:tcBorders>
              <w:top w:val="single" w:sz="8" w:space="0" w:color="134F5C"/>
              <w:left w:val="single" w:sz="8" w:space="0" w:color="134F5C"/>
              <w:bottom w:val="single" w:sz="8" w:space="0" w:color="134F5C"/>
              <w:right w:val="single" w:sz="8" w:space="0" w:color="134F5C"/>
            </w:tcBorders>
            <w:shd w:val="clear" w:color="auto" w:fill="D0E0E3"/>
            <w:tcMar>
              <w:top w:w="100" w:type="dxa"/>
              <w:left w:w="100" w:type="dxa"/>
              <w:bottom w:w="100" w:type="dxa"/>
              <w:right w:w="100" w:type="dxa"/>
            </w:tcMar>
          </w:tcPr>
          <w:p w14:paraId="20A0DD3E" w14:textId="77777777" w:rsidR="00536FE8"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A </w:t>
            </w:r>
            <w:r>
              <w:rPr>
                <w:rFonts w:ascii="Times New Roman" w:eastAsia="Times New Roman" w:hAnsi="Times New Roman" w:cs="Times New Roman"/>
                <w:b/>
                <w:bCs/>
              </w:rPr>
              <w:t>software reference architecture</w:t>
            </w:r>
            <w:r>
              <w:rPr>
                <w:rFonts w:ascii="Times New Roman" w:eastAsia="Times New Roman" w:hAnsi="Times New Roman" w:cs="Times New Roman"/>
              </w:rPr>
              <w:t xml:space="preserve"> is an abstraction of domain-specific software architectures guiding and standardizing system design and development practices within that domain [6]. </w:t>
            </w:r>
          </w:p>
        </w:tc>
      </w:tr>
    </w:tbl>
    <w:p w14:paraId="7C7662AD" w14:textId="77777777" w:rsidR="00536FE8" w:rsidRDefault="00536FE8">
      <w:pPr>
        <w:jc w:val="both"/>
        <w:rPr>
          <w:rFonts w:ascii="Times New Roman" w:eastAsia="Times New Roman" w:hAnsi="Times New Roman" w:cs="Times New Roman"/>
        </w:rPr>
      </w:pPr>
    </w:p>
    <w:p w14:paraId="64B46FE5"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AIRERA captures common architectural structures, responsibilities, and interaction patterns observed across NLP4RE tools, while remaining independent of specific NLP technologies, tasks, or implementation choices. </w:t>
      </w:r>
    </w:p>
    <w:p w14:paraId="79359781" w14:textId="77777777" w:rsidR="00536FE8"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bCs/>
        </w:rPr>
        <w:t xml:space="preserve">Method. </w:t>
      </w:r>
      <w:r>
        <w:rPr>
          <w:rFonts w:ascii="Times New Roman" w:eastAsia="Times New Roman" w:hAnsi="Times New Roman" w:cs="Times New Roman"/>
        </w:rPr>
        <w:t xml:space="preserve">AIRERA is developed following the </w:t>
      </w:r>
      <w:proofErr w:type="spellStart"/>
      <w:r>
        <w:rPr>
          <w:rFonts w:ascii="Times New Roman" w:eastAsia="Times New Roman" w:hAnsi="Times New Roman" w:cs="Times New Roman"/>
        </w:rPr>
        <w:t>ProSA</w:t>
      </w:r>
      <w:proofErr w:type="spellEnd"/>
      <w:r>
        <w:rPr>
          <w:rFonts w:ascii="Times New Roman" w:eastAsia="Times New Roman" w:hAnsi="Times New Roman" w:cs="Times New Roman"/>
        </w:rPr>
        <w:t>-RA methodology by Nakagawa et al. [4], based on (1) systematic analyses of NLP4RE tools and literature, (2) stakeholder input, and (3) architectural requirements abstracted from recurring system-level needs. The architecture is documented following the principles outlined by Clements et al. [5].</w:t>
      </w:r>
    </w:p>
    <w:p w14:paraId="18021E9C" w14:textId="77777777" w:rsidR="00536FE8" w:rsidRDefault="00000000">
      <w:pPr>
        <w:spacing w:after="240"/>
        <w:jc w:val="both"/>
        <w:rPr>
          <w:rFonts w:ascii="Times New Roman" w:eastAsia="Times New Roman" w:hAnsi="Times New Roman" w:cs="Times New Roman"/>
        </w:rPr>
      </w:pPr>
      <w:r>
        <w:br w:type="page"/>
      </w:r>
    </w:p>
    <w:p w14:paraId="245D0C22" w14:textId="77777777" w:rsidR="00536FE8" w:rsidRDefault="00000000">
      <w:pPr>
        <w:pStyle w:val="Heading2"/>
        <w:rPr>
          <w:rFonts w:ascii="Times New Roman" w:eastAsia="Times New Roman" w:hAnsi="Times New Roman" w:cs="Times New Roman"/>
        </w:rPr>
      </w:pPr>
      <w:bookmarkStart w:id="3" w:name="_z9sb403ih3xq" w:colFirst="0" w:colLast="0"/>
      <w:bookmarkEnd w:id="3"/>
      <w:r>
        <w:rPr>
          <w:rFonts w:ascii="Times New Roman" w:eastAsia="Times New Roman" w:hAnsi="Times New Roman" w:cs="Times New Roman"/>
        </w:rPr>
        <w:lastRenderedPageBreak/>
        <w:t>2. Software Reference Architecture</w:t>
      </w:r>
    </w:p>
    <w:p w14:paraId="20A73671"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rPr>
        <w:t>AIRERA is a Software Reference Architecture (SRA) documented from multiple architectural views, i.e., the documentation of the architecture from a specific viewpoint that highlights distinct elements and relationships of the system [5]. The three views presented below belong to one of two styles:</w:t>
      </w:r>
    </w:p>
    <w:p w14:paraId="49E04878" w14:textId="77777777" w:rsidR="00536FE8" w:rsidRDefault="00536FE8">
      <w:pPr>
        <w:jc w:val="both"/>
        <w:rPr>
          <w:rFonts w:ascii="Times New Roman" w:eastAsia="Times New Roman" w:hAnsi="Times New Roman" w:cs="Times New Roman"/>
        </w:rPr>
      </w:pPr>
    </w:p>
    <w:p w14:paraId="3C48FF02" w14:textId="77777777" w:rsidR="00536FE8"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Module style (</w:t>
      </w:r>
      <w:hyperlink w:anchor="_akf9vfn2sma8">
        <w:r>
          <w:rPr>
            <w:rFonts w:ascii="Times New Roman" w:eastAsia="Times New Roman" w:hAnsi="Times New Roman" w:cs="Times New Roman"/>
            <w:color w:val="1155CC"/>
            <w:u w:val="single"/>
          </w:rPr>
          <w:t>2.1. Layered View</w:t>
        </w:r>
      </w:hyperlink>
      <w:r>
        <w:rPr>
          <w:rFonts w:ascii="Times New Roman" w:eastAsia="Times New Roman" w:hAnsi="Times New Roman" w:cs="Times New Roman"/>
        </w:rPr>
        <w:t>): decomposition of software into its implementation units</w:t>
      </w:r>
    </w:p>
    <w:p w14:paraId="576BBA47" w14:textId="77777777" w:rsidR="00536FE8"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Component-and-connector style (</w:t>
      </w:r>
      <w:hyperlink w:anchor="_ror213uxj9my">
        <w:r>
          <w:rPr>
            <w:rFonts w:ascii="Times New Roman" w:eastAsia="Times New Roman" w:hAnsi="Times New Roman" w:cs="Times New Roman"/>
            <w:color w:val="1155CC"/>
            <w:u w:val="single"/>
          </w:rPr>
          <w:t>2.2. Service-Oriented Architecture View</w:t>
        </w:r>
      </w:hyperlink>
      <w:r>
        <w:rPr>
          <w:rFonts w:ascii="Times New Roman" w:eastAsia="Times New Roman" w:hAnsi="Times New Roman" w:cs="Times New Roman"/>
        </w:rPr>
        <w:t xml:space="preserve"> and </w:t>
      </w:r>
      <w:hyperlink w:anchor="_sz32tlx00jj4">
        <w:r>
          <w:rPr>
            <w:rFonts w:ascii="Times New Roman" w:eastAsia="Times New Roman" w:hAnsi="Times New Roman" w:cs="Times New Roman"/>
            <w:color w:val="1155CC"/>
            <w:u w:val="single"/>
          </w:rPr>
          <w:t>2.3. Pipe-and-Filter View</w:t>
        </w:r>
      </w:hyperlink>
      <w:r>
        <w:rPr>
          <w:rFonts w:ascii="Times New Roman" w:eastAsia="Times New Roman" w:hAnsi="Times New Roman" w:cs="Times New Roman"/>
        </w:rPr>
        <w:t>): runtime elements of the systems</w:t>
      </w:r>
    </w:p>
    <w:p w14:paraId="5AD62BBB" w14:textId="77777777" w:rsidR="00536FE8" w:rsidRDefault="00536FE8">
      <w:pPr>
        <w:jc w:val="both"/>
        <w:rPr>
          <w:rFonts w:ascii="Times New Roman" w:eastAsia="Times New Roman" w:hAnsi="Times New Roman" w:cs="Times New Roman"/>
        </w:rPr>
      </w:pPr>
    </w:p>
    <w:p w14:paraId="65587B06" w14:textId="77777777" w:rsidR="00536FE8" w:rsidRDefault="00000000">
      <w:pPr>
        <w:jc w:val="both"/>
        <w:rPr>
          <w:rFonts w:ascii="Times New Roman" w:eastAsia="Times New Roman" w:hAnsi="Times New Roman" w:cs="Times New Roman"/>
        </w:rPr>
      </w:pPr>
      <w:r>
        <w:rPr>
          <w:rFonts w:ascii="Times New Roman" w:eastAsia="Times New Roman" w:hAnsi="Times New Roman" w:cs="Times New Roman"/>
        </w:rPr>
        <w:t>Together, the views provide a holistic understanding of the architecture without prescribing a single implementation.</w:t>
      </w:r>
    </w:p>
    <w:p w14:paraId="0E748A12" w14:textId="77777777" w:rsidR="00536FE8" w:rsidRDefault="00000000">
      <w:pPr>
        <w:pStyle w:val="Heading3"/>
        <w:rPr>
          <w:rFonts w:ascii="Times New Roman" w:eastAsia="Times New Roman" w:hAnsi="Times New Roman" w:cs="Times New Roman"/>
        </w:rPr>
      </w:pPr>
      <w:bookmarkStart w:id="4" w:name="_akf9vfn2sma8" w:colFirst="0" w:colLast="0"/>
      <w:bookmarkEnd w:id="4"/>
      <w:r>
        <w:rPr>
          <w:rFonts w:ascii="Times New Roman" w:eastAsia="Times New Roman" w:hAnsi="Times New Roman" w:cs="Times New Roman"/>
        </w:rPr>
        <w:t>2.1. Layered View</w:t>
      </w:r>
    </w:p>
    <w:p w14:paraId="27E195CE" w14:textId="77777777" w:rsidR="00536FE8" w:rsidRDefault="00536FE8"/>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36FE8" w14:paraId="78EB67E5" w14:textId="77777777">
        <w:tc>
          <w:tcPr>
            <w:tcW w:w="9029" w:type="dxa"/>
            <w:tcBorders>
              <w:top w:val="single" w:sz="8" w:space="0" w:color="134F5C"/>
              <w:left w:val="single" w:sz="8" w:space="0" w:color="134F5C"/>
              <w:bottom w:val="single" w:sz="8" w:space="0" w:color="134F5C"/>
              <w:right w:val="single" w:sz="8" w:space="0" w:color="134F5C"/>
            </w:tcBorders>
            <w:shd w:val="clear" w:color="auto" w:fill="D0E0E3"/>
            <w:tcMar>
              <w:top w:w="100" w:type="dxa"/>
              <w:left w:w="100" w:type="dxa"/>
              <w:bottom w:w="100" w:type="dxa"/>
              <w:right w:w="100" w:type="dxa"/>
            </w:tcMar>
          </w:tcPr>
          <w:p w14:paraId="143CBB55" w14:textId="77777777" w:rsidR="00536FE8"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A </w:t>
            </w:r>
            <w:r>
              <w:rPr>
                <w:rFonts w:ascii="Times New Roman" w:eastAsia="Times New Roman" w:hAnsi="Times New Roman" w:cs="Times New Roman"/>
                <w:b/>
                <w:bCs/>
              </w:rPr>
              <w:t>layered view</w:t>
            </w:r>
            <w:r>
              <w:rPr>
                <w:rFonts w:ascii="Times New Roman" w:eastAsia="Times New Roman" w:hAnsi="Times New Roman" w:cs="Times New Roman"/>
              </w:rPr>
              <w:t xml:space="preserve"> organizes software elements into hierarchical layers with well-defined responsibilities and dependency constraints. This view is particularly useful to reason about separation of concerns, change impact, and responsibility allocation.</w:t>
            </w:r>
          </w:p>
        </w:tc>
      </w:tr>
    </w:tbl>
    <w:p w14:paraId="79FDA8FC" w14:textId="77777777" w:rsidR="00536FE8" w:rsidRDefault="00536FE8"/>
    <w:p w14:paraId="1348C1DD" w14:textId="77777777" w:rsidR="00536FE8"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Figure 1 illustrates the layered view of AIRERA, which structures NLP4RE tools into four layers: </w:t>
      </w:r>
      <w:r>
        <w:rPr>
          <w:rFonts w:ascii="Times New Roman" w:eastAsia="Times New Roman" w:hAnsi="Times New Roman" w:cs="Times New Roman"/>
          <w:i/>
          <w:iCs/>
        </w:rPr>
        <w:t>Presentation</w:t>
      </w:r>
      <w:r>
        <w:rPr>
          <w:rFonts w:ascii="Times New Roman" w:eastAsia="Times New Roman" w:hAnsi="Times New Roman" w:cs="Times New Roman"/>
        </w:rPr>
        <w:t xml:space="preserve">, </w:t>
      </w:r>
      <w:r>
        <w:rPr>
          <w:rFonts w:ascii="Times New Roman" w:eastAsia="Times New Roman" w:hAnsi="Times New Roman" w:cs="Times New Roman"/>
          <w:i/>
          <w:iCs/>
        </w:rPr>
        <w:t>Service</w:t>
      </w:r>
      <w:r>
        <w:rPr>
          <w:rFonts w:ascii="Times New Roman" w:eastAsia="Times New Roman" w:hAnsi="Times New Roman" w:cs="Times New Roman"/>
        </w:rPr>
        <w:t xml:space="preserve">, </w:t>
      </w:r>
      <w:r>
        <w:rPr>
          <w:rFonts w:ascii="Times New Roman" w:eastAsia="Times New Roman" w:hAnsi="Times New Roman" w:cs="Times New Roman"/>
          <w:i/>
          <w:iCs/>
        </w:rPr>
        <w:t>Data</w:t>
      </w:r>
      <w:r>
        <w:rPr>
          <w:rFonts w:ascii="Times New Roman" w:eastAsia="Times New Roman" w:hAnsi="Times New Roman" w:cs="Times New Roman"/>
        </w:rPr>
        <w:t xml:space="preserve">, and </w:t>
      </w:r>
      <w:r>
        <w:rPr>
          <w:rFonts w:ascii="Times New Roman" w:eastAsia="Times New Roman" w:hAnsi="Times New Roman" w:cs="Times New Roman"/>
          <w:i/>
          <w:iCs/>
        </w:rPr>
        <w:t>Cross-cutting</w:t>
      </w:r>
      <w:r>
        <w:rPr>
          <w:rFonts w:ascii="Times New Roman" w:eastAsia="Times New Roman" w:hAnsi="Times New Roman" w:cs="Times New Roman"/>
        </w:rPr>
        <w:t>.</w:t>
      </w:r>
    </w:p>
    <w:p w14:paraId="6941E791" w14:textId="77777777" w:rsidR="00536FE8" w:rsidRDefault="00000000">
      <w:pPr>
        <w:numPr>
          <w:ilvl w:val="0"/>
          <w:numId w:val="2"/>
        </w:numPr>
        <w:spacing w:before="240"/>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Presentation Layer</w:t>
      </w:r>
      <w:r>
        <w:rPr>
          <w:rFonts w:ascii="Times New Roman" w:eastAsia="Times New Roman" w:hAnsi="Times New Roman" w:cs="Times New Roman"/>
        </w:rPr>
        <w:t xml:space="preserve"> contains components responsible for interacting with users and external systems. The </w:t>
      </w:r>
      <w:r>
        <w:rPr>
          <w:rFonts w:ascii="Times New Roman" w:eastAsia="Times New Roman" w:hAnsi="Times New Roman" w:cs="Times New Roman"/>
          <w:i/>
          <w:iCs/>
        </w:rPr>
        <w:t>Output Producer</w:t>
      </w:r>
      <w:r>
        <w:rPr>
          <w:rFonts w:ascii="Times New Roman" w:eastAsia="Times New Roman" w:hAnsi="Times New Roman" w:cs="Times New Roman"/>
        </w:rPr>
        <w:t xml:space="preserve"> consumes results from service modules and coordinates visualization, explanation, and export through the </w:t>
      </w:r>
      <w:r>
        <w:rPr>
          <w:rFonts w:ascii="Times New Roman" w:eastAsia="Times New Roman" w:hAnsi="Times New Roman" w:cs="Times New Roman"/>
          <w:i/>
          <w:iCs/>
        </w:rPr>
        <w:t>Explainability Manager</w:t>
      </w:r>
      <w:r>
        <w:rPr>
          <w:rFonts w:ascii="Times New Roman" w:eastAsia="Times New Roman" w:hAnsi="Times New Roman" w:cs="Times New Roman"/>
        </w:rPr>
        <w:t xml:space="preserve"> and </w:t>
      </w:r>
      <w:r>
        <w:rPr>
          <w:rFonts w:ascii="Times New Roman" w:eastAsia="Times New Roman" w:hAnsi="Times New Roman" w:cs="Times New Roman"/>
          <w:i/>
          <w:iCs/>
        </w:rPr>
        <w:t>Export Manager</w:t>
      </w:r>
      <w:r>
        <w:rPr>
          <w:rFonts w:ascii="Times New Roman" w:eastAsia="Times New Roman" w:hAnsi="Times New Roman" w:cs="Times New Roman"/>
        </w:rPr>
        <w:t>.</w:t>
      </w:r>
    </w:p>
    <w:p w14:paraId="205D8CEE" w14:textId="77777777" w:rsidR="00536FE8" w:rsidRDefault="00000000">
      <w:pPr>
        <w:numPr>
          <w:ilvl w:val="0"/>
          <w:numId w:val="2"/>
        </w:numPr>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Service Layer</w:t>
      </w:r>
      <w:r>
        <w:rPr>
          <w:rFonts w:ascii="Times New Roman" w:eastAsia="Times New Roman" w:hAnsi="Times New Roman" w:cs="Times New Roman"/>
        </w:rPr>
        <w:t xml:space="preserve"> encapsulates the core processing logic. The </w:t>
      </w:r>
      <w:r>
        <w:rPr>
          <w:rFonts w:ascii="Times New Roman" w:eastAsia="Times New Roman" w:hAnsi="Times New Roman" w:cs="Times New Roman"/>
          <w:i/>
          <w:iCs/>
        </w:rPr>
        <w:t>Orchestrator</w:t>
      </w:r>
      <w:r>
        <w:rPr>
          <w:rFonts w:ascii="Times New Roman" w:eastAsia="Times New Roman" w:hAnsi="Times New Roman" w:cs="Times New Roman"/>
        </w:rPr>
        <w:t xml:space="preserve"> assembles and executes a configurable pipeline composed of </w:t>
      </w:r>
      <w:r>
        <w:rPr>
          <w:rFonts w:ascii="Times New Roman" w:eastAsia="Times New Roman" w:hAnsi="Times New Roman" w:cs="Times New Roman"/>
          <w:i/>
          <w:iCs/>
        </w:rPr>
        <w:t>Input Consumers</w:t>
      </w:r>
      <w:r>
        <w:rPr>
          <w:rFonts w:ascii="Times New Roman" w:eastAsia="Times New Roman" w:hAnsi="Times New Roman" w:cs="Times New Roman"/>
        </w:rPr>
        <w:t xml:space="preserve">, </w:t>
      </w:r>
      <w:r>
        <w:rPr>
          <w:rFonts w:ascii="Times New Roman" w:eastAsia="Times New Roman" w:hAnsi="Times New Roman" w:cs="Times New Roman"/>
          <w:i/>
          <w:iCs/>
        </w:rPr>
        <w:t>Preprocessors</w:t>
      </w:r>
      <w:r>
        <w:rPr>
          <w:rFonts w:ascii="Times New Roman" w:eastAsia="Times New Roman" w:hAnsi="Times New Roman" w:cs="Times New Roman"/>
        </w:rPr>
        <w:t xml:space="preserve">, </w:t>
      </w:r>
      <w:r>
        <w:rPr>
          <w:rFonts w:ascii="Times New Roman" w:eastAsia="Times New Roman" w:hAnsi="Times New Roman" w:cs="Times New Roman"/>
          <w:i/>
          <w:iCs/>
        </w:rPr>
        <w:t>Processors</w:t>
      </w:r>
      <w:r>
        <w:rPr>
          <w:rFonts w:ascii="Times New Roman" w:eastAsia="Times New Roman" w:hAnsi="Times New Roman" w:cs="Times New Roman"/>
        </w:rPr>
        <w:t xml:space="preserve">, and </w:t>
      </w:r>
      <w:r>
        <w:rPr>
          <w:rFonts w:ascii="Times New Roman" w:eastAsia="Times New Roman" w:hAnsi="Times New Roman" w:cs="Times New Roman"/>
          <w:i/>
          <w:iCs/>
        </w:rPr>
        <w:t>Postprocessors</w:t>
      </w:r>
      <w:r>
        <w:rPr>
          <w:rFonts w:ascii="Times New Roman" w:eastAsia="Times New Roman" w:hAnsi="Times New Roman" w:cs="Times New Roman"/>
        </w:rPr>
        <w:t xml:space="preserve"> to feed into </w:t>
      </w:r>
      <w:r>
        <w:rPr>
          <w:rFonts w:ascii="Times New Roman" w:eastAsia="Times New Roman" w:hAnsi="Times New Roman" w:cs="Times New Roman"/>
          <w:i/>
          <w:iCs/>
        </w:rPr>
        <w:t>Output Producers</w:t>
      </w:r>
      <w:r>
        <w:rPr>
          <w:rFonts w:ascii="Times New Roman" w:eastAsia="Times New Roman" w:hAnsi="Times New Roman" w:cs="Times New Roman"/>
        </w:rPr>
        <w:t xml:space="preserve">. The </w:t>
      </w:r>
      <w:r>
        <w:rPr>
          <w:rFonts w:ascii="Times New Roman" w:eastAsia="Times New Roman" w:hAnsi="Times New Roman" w:cs="Times New Roman"/>
          <w:i/>
          <w:iCs/>
        </w:rPr>
        <w:t>Processing Module</w:t>
      </w:r>
      <w:r>
        <w:rPr>
          <w:rFonts w:ascii="Times New Roman" w:eastAsia="Times New Roman" w:hAnsi="Times New Roman" w:cs="Times New Roman"/>
        </w:rPr>
        <w:t xml:space="preserve"> abstraction defines a uniform execution interface across all pipeline steps.</w:t>
      </w:r>
    </w:p>
    <w:p w14:paraId="3FF4457A" w14:textId="77777777" w:rsidR="00536FE8" w:rsidRDefault="00000000">
      <w:pPr>
        <w:numPr>
          <w:ilvl w:val="0"/>
          <w:numId w:val="2"/>
        </w:numPr>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Data Layer</w:t>
      </w:r>
      <w:r>
        <w:rPr>
          <w:rFonts w:ascii="Times New Roman" w:eastAsia="Times New Roman" w:hAnsi="Times New Roman" w:cs="Times New Roman"/>
        </w:rPr>
        <w:t xml:space="preserve"> manages persistent artifacts. The</w:t>
      </w:r>
      <w:r>
        <w:rPr>
          <w:rFonts w:ascii="Times New Roman" w:eastAsia="Times New Roman" w:hAnsi="Times New Roman" w:cs="Times New Roman"/>
          <w:i/>
          <w:iCs/>
        </w:rPr>
        <w:t xml:space="preserve"> Storage System</w:t>
      </w:r>
      <w:r>
        <w:rPr>
          <w:rFonts w:ascii="Times New Roman" w:eastAsia="Times New Roman" w:hAnsi="Times New Roman" w:cs="Times New Roman"/>
        </w:rPr>
        <w:t xml:space="preserve"> preserves runtime artifacts such as inputs, intermediate results, outputs, and execution traces, while the </w:t>
      </w:r>
      <w:r>
        <w:rPr>
          <w:rFonts w:ascii="Times New Roman" w:eastAsia="Times New Roman" w:hAnsi="Times New Roman" w:cs="Times New Roman"/>
          <w:i/>
          <w:iCs/>
        </w:rPr>
        <w:t>Tool Metadata Repository</w:t>
      </w:r>
      <w:r>
        <w:rPr>
          <w:rFonts w:ascii="Times New Roman" w:eastAsia="Times New Roman" w:hAnsi="Times New Roman" w:cs="Times New Roman"/>
        </w:rPr>
        <w:t xml:space="preserve"> stores static metadata including documentation, versions, dependencies, licenses, NLP technologies, and supported tasks.</w:t>
      </w:r>
    </w:p>
    <w:p w14:paraId="191A29F2" w14:textId="77777777" w:rsidR="00536FE8" w:rsidRDefault="00000000">
      <w:pPr>
        <w:numPr>
          <w:ilvl w:val="0"/>
          <w:numId w:val="2"/>
        </w:numPr>
        <w:spacing w:after="240"/>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Cross-cutting Layer</w:t>
      </w:r>
      <w:r>
        <w:rPr>
          <w:rFonts w:ascii="Times New Roman" w:eastAsia="Times New Roman" w:hAnsi="Times New Roman" w:cs="Times New Roman"/>
        </w:rPr>
        <w:t xml:space="preserve"> contains the </w:t>
      </w:r>
      <w:r>
        <w:rPr>
          <w:rFonts w:ascii="Times New Roman" w:eastAsia="Times New Roman" w:hAnsi="Times New Roman" w:cs="Times New Roman"/>
          <w:i/>
          <w:iCs/>
        </w:rPr>
        <w:t>Logger</w:t>
      </w:r>
      <w:r>
        <w:rPr>
          <w:rFonts w:ascii="Times New Roman" w:eastAsia="Times New Roman" w:hAnsi="Times New Roman" w:cs="Times New Roman"/>
        </w:rPr>
        <w:t>, which captures execution data across all layers and ensures traceability, reproducibility, and recoverability.</w:t>
      </w:r>
    </w:p>
    <w:p w14:paraId="1BC7ED7A" w14:textId="77777777" w:rsidR="00536FE8"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AIRERA, this layered decomposition explicitly separates user-facing concerns (</w:t>
      </w:r>
      <w:r>
        <w:rPr>
          <w:rFonts w:ascii="Times New Roman" w:eastAsia="Times New Roman" w:hAnsi="Times New Roman" w:cs="Times New Roman"/>
          <w:i/>
          <w:iCs/>
        </w:rPr>
        <w:t>Output Producer, Explainability Manager, Export Manager</w:t>
      </w:r>
      <w:r>
        <w:rPr>
          <w:rFonts w:ascii="Times New Roman" w:eastAsia="Times New Roman" w:hAnsi="Times New Roman" w:cs="Times New Roman"/>
        </w:rPr>
        <w:t>) from pipeline coordination and execution (</w:t>
      </w:r>
      <w:r>
        <w:rPr>
          <w:rFonts w:ascii="Times New Roman" w:eastAsia="Times New Roman" w:hAnsi="Times New Roman" w:cs="Times New Roman"/>
          <w:i/>
          <w:iCs/>
        </w:rPr>
        <w:t>Orchestrator</w:t>
      </w:r>
      <w:r>
        <w:rPr>
          <w:rFonts w:ascii="Times New Roman" w:eastAsia="Times New Roman" w:hAnsi="Times New Roman" w:cs="Times New Roman"/>
        </w:rPr>
        <w:t xml:space="preserve"> and </w:t>
      </w:r>
      <w:r>
        <w:rPr>
          <w:rFonts w:ascii="Times New Roman" w:eastAsia="Times New Roman" w:hAnsi="Times New Roman" w:cs="Times New Roman"/>
          <w:i/>
          <w:iCs/>
        </w:rPr>
        <w:t>Processing Modules</w:t>
      </w:r>
      <w:r>
        <w:rPr>
          <w:rFonts w:ascii="Times New Roman" w:eastAsia="Times New Roman" w:hAnsi="Times New Roman" w:cs="Times New Roman"/>
        </w:rPr>
        <w:t>), and from artifact persistence and metadata management (</w:t>
      </w:r>
      <w:r>
        <w:rPr>
          <w:rFonts w:ascii="Times New Roman" w:eastAsia="Times New Roman" w:hAnsi="Times New Roman" w:cs="Times New Roman"/>
          <w:i/>
          <w:iCs/>
        </w:rPr>
        <w:t>Storage System</w:t>
      </w:r>
      <w:r>
        <w:rPr>
          <w:rFonts w:ascii="Times New Roman" w:eastAsia="Times New Roman" w:hAnsi="Times New Roman" w:cs="Times New Roman"/>
        </w:rPr>
        <w:t xml:space="preserve"> and </w:t>
      </w:r>
      <w:r>
        <w:rPr>
          <w:rFonts w:ascii="Times New Roman" w:eastAsia="Times New Roman" w:hAnsi="Times New Roman" w:cs="Times New Roman"/>
          <w:i/>
          <w:iCs/>
        </w:rPr>
        <w:t>Tool Metadata Repository</w:t>
      </w:r>
      <w:r>
        <w:rPr>
          <w:rFonts w:ascii="Times New Roman" w:eastAsia="Times New Roman" w:hAnsi="Times New Roman" w:cs="Times New Roman"/>
        </w:rPr>
        <w:t>). By constraining dependencies to flow through well-defined interfaces across layers, AIRERA prevents direct coupling between presentation logic, NLP processing logic, and data management. This enables individual pipeline modules, visualization mechanisms, or storage backends to evolve, be replaced, or be reused across tools without impacting the remaining layers.</w:t>
      </w:r>
      <w:r>
        <w:br w:type="page"/>
      </w:r>
    </w:p>
    <w:p w14:paraId="5FEE1C83" w14:textId="77777777" w:rsidR="00536FE8" w:rsidRDefault="00000000">
      <w:r>
        <w:rPr>
          <w:noProof/>
        </w:rPr>
        <w:lastRenderedPageBreak/>
        <w:drawing>
          <wp:inline distT="114300" distB="114300" distL="114300" distR="114300" wp14:anchorId="11F6C71F" wp14:editId="4341B68B">
            <wp:extent cx="5731200" cy="5130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5130800"/>
                    </a:xfrm>
                    <a:prstGeom prst="rect">
                      <a:avLst/>
                    </a:prstGeom>
                    <a:ln/>
                  </pic:spPr>
                </pic:pic>
              </a:graphicData>
            </a:graphic>
          </wp:inline>
        </w:drawing>
      </w:r>
    </w:p>
    <w:p w14:paraId="4CC8BA76" w14:textId="77777777" w:rsidR="00536FE8"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2. Layered View of AIRERA</w:t>
      </w:r>
    </w:p>
    <w:p w14:paraId="4BA617C9" w14:textId="77777777" w:rsidR="00536FE8" w:rsidRDefault="00000000">
      <w:pPr>
        <w:pStyle w:val="Heading3"/>
        <w:rPr>
          <w:rFonts w:ascii="Times New Roman" w:eastAsia="Times New Roman" w:hAnsi="Times New Roman" w:cs="Times New Roman"/>
        </w:rPr>
      </w:pPr>
      <w:bookmarkStart w:id="5" w:name="_ror213uxj9my" w:colFirst="0" w:colLast="0"/>
      <w:bookmarkEnd w:id="5"/>
      <w:r>
        <w:rPr>
          <w:rFonts w:ascii="Times New Roman" w:eastAsia="Times New Roman" w:hAnsi="Times New Roman" w:cs="Times New Roman"/>
        </w:rPr>
        <w:t>2.2. Service-Oriented Architecture View</w:t>
      </w:r>
    </w:p>
    <w:p w14:paraId="3DEB4878" w14:textId="77777777" w:rsidR="00536FE8" w:rsidRDefault="00536FE8"/>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36FE8" w14:paraId="13D7F13B" w14:textId="77777777">
        <w:tc>
          <w:tcPr>
            <w:tcW w:w="9029" w:type="dxa"/>
            <w:tcBorders>
              <w:top w:val="single" w:sz="8" w:space="0" w:color="134F5C"/>
              <w:left w:val="single" w:sz="8" w:space="0" w:color="134F5C"/>
              <w:bottom w:val="single" w:sz="8" w:space="0" w:color="134F5C"/>
              <w:right w:val="single" w:sz="8" w:space="0" w:color="134F5C"/>
            </w:tcBorders>
            <w:shd w:val="clear" w:color="auto" w:fill="D0E0E3"/>
            <w:tcMar>
              <w:top w:w="100" w:type="dxa"/>
              <w:left w:w="100" w:type="dxa"/>
              <w:bottom w:w="100" w:type="dxa"/>
              <w:right w:w="100" w:type="dxa"/>
            </w:tcMar>
          </w:tcPr>
          <w:p w14:paraId="06480441" w14:textId="77777777" w:rsidR="00536FE8"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A </w:t>
            </w:r>
            <w:r>
              <w:rPr>
                <w:rFonts w:ascii="Times New Roman" w:eastAsia="Times New Roman" w:hAnsi="Times New Roman" w:cs="Times New Roman"/>
                <w:b/>
                <w:bCs/>
              </w:rPr>
              <w:t>service-oriented architecture (SOA) view</w:t>
            </w:r>
            <w:r>
              <w:rPr>
                <w:rFonts w:ascii="Times New Roman" w:eastAsia="Times New Roman" w:hAnsi="Times New Roman" w:cs="Times New Roman"/>
              </w:rPr>
              <w:t xml:space="preserve"> focuses on runtime components, their provided and required interfaces, and their interaction patterns. It supports reasoning about interoperability, substitutability, and runtime composition.</w:t>
            </w:r>
          </w:p>
        </w:tc>
      </w:tr>
    </w:tbl>
    <w:p w14:paraId="5E4E2013" w14:textId="77777777" w:rsidR="00536FE8" w:rsidRDefault="00536FE8"/>
    <w:p w14:paraId="76316938" w14:textId="77777777" w:rsidR="00536FE8"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In AIRERA, core functionality is exposed through explicit service interfaces to enable loose coupling and interchangeability.</w:t>
      </w:r>
    </w:p>
    <w:p w14:paraId="609E6DE5" w14:textId="77777777" w:rsidR="00536FE8" w:rsidRDefault="00000000">
      <w:pPr>
        <w:numPr>
          <w:ilvl w:val="0"/>
          <w:numId w:val="3"/>
        </w:numPr>
        <w:spacing w:before="240"/>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Orchestrator Service</w:t>
      </w:r>
      <w:r>
        <w:rPr>
          <w:rFonts w:ascii="Times New Roman" w:eastAsia="Times New Roman" w:hAnsi="Times New Roman" w:cs="Times New Roman"/>
        </w:rPr>
        <w:t xml:space="preserve"> exposes interfaces to execute pipelines, access results, and retrieve execution metadata.</w:t>
      </w:r>
    </w:p>
    <w:p w14:paraId="38EAE167" w14:textId="77777777" w:rsidR="00536FE8" w:rsidRDefault="00000000">
      <w:pPr>
        <w:numPr>
          <w:ilvl w:val="0"/>
          <w:numId w:val="3"/>
        </w:numPr>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Output Producer Interface</w:t>
      </w:r>
      <w:r>
        <w:rPr>
          <w:rFonts w:ascii="Times New Roman" w:eastAsia="Times New Roman" w:hAnsi="Times New Roman" w:cs="Times New Roman"/>
        </w:rPr>
        <w:t xml:space="preserve"> provides standardized access points for visualization, explanation, and export services.</w:t>
      </w:r>
    </w:p>
    <w:p w14:paraId="25D605E2" w14:textId="77777777" w:rsidR="00536FE8" w:rsidRDefault="00000000">
      <w:pPr>
        <w:numPr>
          <w:ilvl w:val="0"/>
          <w:numId w:val="3"/>
        </w:numPr>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Explainability Manager</w:t>
      </w:r>
      <w:r>
        <w:rPr>
          <w:rFonts w:ascii="Times New Roman" w:eastAsia="Times New Roman" w:hAnsi="Times New Roman" w:cs="Times New Roman"/>
        </w:rPr>
        <w:t xml:space="preserve"> and </w:t>
      </w:r>
      <w:r>
        <w:rPr>
          <w:rFonts w:ascii="Times New Roman" w:eastAsia="Times New Roman" w:hAnsi="Times New Roman" w:cs="Times New Roman"/>
          <w:b/>
          <w:bCs/>
          <w:i/>
          <w:iCs/>
        </w:rPr>
        <w:t>Export Manager</w:t>
      </w:r>
      <w:r>
        <w:rPr>
          <w:rFonts w:ascii="Times New Roman" w:eastAsia="Times New Roman" w:hAnsi="Times New Roman" w:cs="Times New Roman"/>
        </w:rPr>
        <w:t xml:space="preserve"> act as specialized services that consume outputs via the Output Producer interface.</w:t>
      </w:r>
    </w:p>
    <w:p w14:paraId="1EAC844C" w14:textId="77777777" w:rsidR="00536FE8" w:rsidRDefault="00000000">
      <w:pPr>
        <w:numPr>
          <w:ilvl w:val="0"/>
          <w:numId w:val="3"/>
        </w:numPr>
        <w:jc w:val="both"/>
      </w:pPr>
      <w:r>
        <w:rPr>
          <w:rFonts w:ascii="Times New Roman" w:eastAsia="Times New Roman" w:hAnsi="Times New Roman" w:cs="Times New Roman"/>
        </w:rPr>
        <w:t xml:space="preserve">The </w:t>
      </w:r>
      <w:r>
        <w:rPr>
          <w:rFonts w:ascii="Times New Roman" w:eastAsia="Times New Roman" w:hAnsi="Times New Roman" w:cs="Times New Roman"/>
          <w:b/>
          <w:bCs/>
          <w:i/>
          <w:iCs/>
        </w:rPr>
        <w:t>Logger Service</w:t>
      </w:r>
      <w:r>
        <w:rPr>
          <w:rFonts w:ascii="Times New Roman" w:eastAsia="Times New Roman" w:hAnsi="Times New Roman" w:cs="Times New Roman"/>
        </w:rPr>
        <w:t xml:space="preserve"> records execution events through a dedicated interface, decoupled from functional services.</w:t>
      </w:r>
    </w:p>
    <w:p w14:paraId="5B5C1F3D" w14:textId="77777777" w:rsidR="00536FE8" w:rsidRDefault="00000000">
      <w:pPr>
        <w:numPr>
          <w:ilvl w:val="0"/>
          <w:numId w:val="3"/>
        </w:num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Data services such as the </w:t>
      </w:r>
      <w:r>
        <w:rPr>
          <w:rFonts w:ascii="Times New Roman" w:eastAsia="Times New Roman" w:hAnsi="Times New Roman" w:cs="Times New Roman"/>
          <w:b/>
          <w:bCs/>
          <w:i/>
          <w:iCs/>
        </w:rPr>
        <w:t>Storage System</w:t>
      </w:r>
      <w:r>
        <w:rPr>
          <w:rFonts w:ascii="Times New Roman" w:eastAsia="Times New Roman" w:hAnsi="Times New Roman" w:cs="Times New Roman"/>
        </w:rPr>
        <w:t xml:space="preserve"> and</w:t>
      </w:r>
      <w:r>
        <w:rPr>
          <w:rFonts w:ascii="Times New Roman" w:eastAsia="Times New Roman" w:hAnsi="Times New Roman" w:cs="Times New Roman"/>
          <w:b/>
          <w:bCs/>
          <w:i/>
          <w:iCs/>
        </w:rPr>
        <w:t xml:space="preserve"> Tool Metadata Repository</w:t>
      </w:r>
      <w:r>
        <w:rPr>
          <w:rFonts w:ascii="Times New Roman" w:eastAsia="Times New Roman" w:hAnsi="Times New Roman" w:cs="Times New Roman"/>
        </w:rPr>
        <w:t xml:space="preserve"> expose access and persistence operations through well-defined interfaces.</w:t>
      </w:r>
    </w:p>
    <w:p w14:paraId="782759DF" w14:textId="77777777" w:rsidR="00536FE8" w:rsidRDefault="00000000">
      <w:r>
        <w:rPr>
          <w:noProof/>
        </w:rPr>
        <w:drawing>
          <wp:inline distT="114300" distB="114300" distL="114300" distR="114300" wp14:anchorId="4B04DADF" wp14:editId="144D77D4">
            <wp:extent cx="5731200" cy="3568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568700"/>
                    </a:xfrm>
                    <a:prstGeom prst="rect">
                      <a:avLst/>
                    </a:prstGeom>
                    <a:ln/>
                  </pic:spPr>
                </pic:pic>
              </a:graphicData>
            </a:graphic>
          </wp:inline>
        </w:drawing>
      </w:r>
    </w:p>
    <w:p w14:paraId="18AFC3BD" w14:textId="77777777" w:rsidR="00536FE8"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3. SOA View of AIRERA</w:t>
      </w:r>
    </w:p>
    <w:p w14:paraId="29F4E9BA" w14:textId="77777777" w:rsidR="00536FE8" w:rsidRDefault="00000000">
      <w:pPr>
        <w:spacing w:before="240" w:after="240"/>
        <w:jc w:val="both"/>
        <w:rPr>
          <w:rFonts w:ascii="Times New Roman" w:eastAsia="Times New Roman" w:hAnsi="Times New Roman" w:cs="Times New Roman"/>
          <w:i/>
          <w:iCs/>
          <w:sz w:val="20"/>
          <w:szCs w:val="20"/>
        </w:rPr>
      </w:pPr>
      <w:r>
        <w:rPr>
          <w:rFonts w:ascii="Times New Roman" w:eastAsia="Times New Roman" w:hAnsi="Times New Roman" w:cs="Times New Roman"/>
        </w:rPr>
        <w:t>Figure 2 illustrates AIRERA’s SOA view. This view emphasizes that AIRERA is not a fixed tool but a composition of interacting services. Implementations may be local, remote, or hybrid, as long as interface contracts are respected.</w:t>
      </w:r>
    </w:p>
    <w:p w14:paraId="33B743A9" w14:textId="77777777" w:rsidR="00536FE8" w:rsidRDefault="00000000">
      <w:pPr>
        <w:pStyle w:val="Heading3"/>
        <w:rPr>
          <w:rFonts w:ascii="Times New Roman" w:eastAsia="Times New Roman" w:hAnsi="Times New Roman" w:cs="Times New Roman"/>
        </w:rPr>
      </w:pPr>
      <w:bookmarkStart w:id="6" w:name="_sz32tlx00jj4" w:colFirst="0" w:colLast="0"/>
      <w:bookmarkEnd w:id="6"/>
      <w:r>
        <w:rPr>
          <w:rFonts w:ascii="Times New Roman" w:eastAsia="Times New Roman" w:hAnsi="Times New Roman" w:cs="Times New Roman"/>
        </w:rPr>
        <w:t>2.3. Pipe-and-Filter View</w:t>
      </w:r>
    </w:p>
    <w:p w14:paraId="18AB81FD" w14:textId="77777777" w:rsidR="00536FE8" w:rsidRDefault="00536FE8"/>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36FE8" w14:paraId="3DA34344" w14:textId="77777777">
        <w:tc>
          <w:tcPr>
            <w:tcW w:w="9029" w:type="dxa"/>
            <w:tcBorders>
              <w:top w:val="single" w:sz="8" w:space="0" w:color="134F5C"/>
              <w:left w:val="single" w:sz="8" w:space="0" w:color="134F5C"/>
              <w:bottom w:val="single" w:sz="8" w:space="0" w:color="134F5C"/>
              <w:right w:val="single" w:sz="8" w:space="0" w:color="134F5C"/>
            </w:tcBorders>
            <w:shd w:val="clear" w:color="auto" w:fill="D0E0E3"/>
            <w:tcMar>
              <w:top w:w="100" w:type="dxa"/>
              <w:left w:w="100" w:type="dxa"/>
              <w:bottom w:w="100" w:type="dxa"/>
              <w:right w:w="100" w:type="dxa"/>
            </w:tcMar>
          </w:tcPr>
          <w:p w14:paraId="06A6875A" w14:textId="77777777" w:rsidR="00536FE8"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A </w:t>
            </w:r>
            <w:r>
              <w:rPr>
                <w:rFonts w:ascii="Times New Roman" w:eastAsia="Times New Roman" w:hAnsi="Times New Roman" w:cs="Times New Roman"/>
                <w:b/>
                <w:bCs/>
              </w:rPr>
              <w:t>pipe-and-filter view</w:t>
            </w:r>
            <w:r>
              <w:rPr>
                <w:rFonts w:ascii="Times New Roman" w:eastAsia="Times New Roman" w:hAnsi="Times New Roman" w:cs="Times New Roman"/>
              </w:rPr>
              <w:t xml:space="preserve"> models systems as a sequence of processing elements (filters) connected by data flows (pipes). This view is well suited for reasoning about transformation pipelines, reuse of processing steps, and experimental comparability.</w:t>
            </w:r>
          </w:p>
        </w:tc>
      </w:tr>
    </w:tbl>
    <w:p w14:paraId="3B584AB1" w14:textId="77777777" w:rsidR="00536FE8" w:rsidRDefault="00536FE8"/>
    <w:p w14:paraId="45362A9D" w14:textId="77777777" w:rsidR="00536FE8"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AIRERA models NLP4RE tools as configurable pipelines composed of the following filter types:</w:t>
      </w:r>
    </w:p>
    <w:p w14:paraId="4A0D995C" w14:textId="77777777" w:rsidR="00536FE8" w:rsidRDefault="00000000">
      <w:pPr>
        <w:numPr>
          <w:ilvl w:val="0"/>
          <w:numId w:val="4"/>
        </w:numPr>
        <w:spacing w:before="240"/>
        <w:jc w:val="both"/>
      </w:pPr>
      <w:r>
        <w:rPr>
          <w:rFonts w:ascii="Times New Roman" w:eastAsia="Times New Roman" w:hAnsi="Times New Roman" w:cs="Times New Roman"/>
          <w:b/>
          <w:bCs/>
        </w:rPr>
        <w:t>Input Consumer</w:t>
      </w:r>
      <w:r>
        <w:rPr>
          <w:rFonts w:ascii="Times New Roman" w:eastAsia="Times New Roman" w:hAnsi="Times New Roman" w:cs="Times New Roman"/>
        </w:rPr>
        <w:t>: Reads requirements artifacts and transforms them into a common internal representation.</w:t>
      </w:r>
    </w:p>
    <w:p w14:paraId="06C12D7A" w14:textId="77777777" w:rsidR="00536FE8" w:rsidRDefault="00000000">
      <w:pPr>
        <w:numPr>
          <w:ilvl w:val="0"/>
          <w:numId w:val="4"/>
        </w:numPr>
        <w:jc w:val="both"/>
      </w:pPr>
      <w:r>
        <w:rPr>
          <w:rFonts w:ascii="Times New Roman" w:eastAsia="Times New Roman" w:hAnsi="Times New Roman" w:cs="Times New Roman"/>
          <w:b/>
          <w:bCs/>
        </w:rPr>
        <w:t>Preprocessor</w:t>
      </w:r>
      <w:r>
        <w:rPr>
          <w:rFonts w:ascii="Times New Roman" w:eastAsia="Times New Roman" w:hAnsi="Times New Roman" w:cs="Times New Roman"/>
        </w:rPr>
        <w:t>: Enriches parsed artifacts with syntactic or semantic information.</w:t>
      </w:r>
    </w:p>
    <w:p w14:paraId="3BFA46A3" w14:textId="77777777" w:rsidR="00536FE8" w:rsidRDefault="00000000">
      <w:pPr>
        <w:numPr>
          <w:ilvl w:val="0"/>
          <w:numId w:val="4"/>
        </w:numPr>
        <w:jc w:val="both"/>
      </w:pPr>
      <w:r>
        <w:rPr>
          <w:rFonts w:ascii="Times New Roman" w:eastAsia="Times New Roman" w:hAnsi="Times New Roman" w:cs="Times New Roman"/>
          <w:b/>
          <w:bCs/>
        </w:rPr>
        <w:t>Processor</w:t>
      </w:r>
      <w:r>
        <w:rPr>
          <w:rFonts w:ascii="Times New Roman" w:eastAsia="Times New Roman" w:hAnsi="Times New Roman" w:cs="Times New Roman"/>
        </w:rPr>
        <w:t xml:space="preserve">: Performs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RE-relevant NLP task on the </w:t>
      </w:r>
      <w:proofErr w:type="spellStart"/>
      <w:r>
        <w:rPr>
          <w:rFonts w:ascii="Times New Roman" w:eastAsia="Times New Roman" w:hAnsi="Times New Roman" w:cs="Times New Roman"/>
        </w:rPr>
        <w:t>preprocessed</w:t>
      </w:r>
      <w:proofErr w:type="spellEnd"/>
      <w:r>
        <w:rPr>
          <w:rFonts w:ascii="Times New Roman" w:eastAsia="Times New Roman" w:hAnsi="Times New Roman" w:cs="Times New Roman"/>
        </w:rPr>
        <w:t xml:space="preserve"> artifacts.</w:t>
      </w:r>
    </w:p>
    <w:p w14:paraId="0B74A03A" w14:textId="77777777" w:rsidR="00536FE8" w:rsidRDefault="00000000">
      <w:pPr>
        <w:numPr>
          <w:ilvl w:val="0"/>
          <w:numId w:val="4"/>
        </w:numPr>
        <w:spacing w:after="240"/>
        <w:jc w:val="both"/>
      </w:pPr>
      <w:r>
        <w:rPr>
          <w:rFonts w:ascii="Times New Roman" w:eastAsia="Times New Roman" w:hAnsi="Times New Roman" w:cs="Times New Roman"/>
          <w:b/>
          <w:bCs/>
        </w:rPr>
        <w:t>Postprocessor</w:t>
      </w:r>
      <w:r>
        <w:rPr>
          <w:rFonts w:ascii="Times New Roman" w:eastAsia="Times New Roman" w:hAnsi="Times New Roman" w:cs="Times New Roman"/>
        </w:rPr>
        <w:t>: Prepares processor outputs for visualization, interpretation, or further analysis.</w:t>
      </w:r>
    </w:p>
    <w:p w14:paraId="14338FB7" w14:textId="77777777" w:rsidR="00536FE8" w:rsidRDefault="00536FE8">
      <w:pPr>
        <w:jc w:val="center"/>
        <w:rPr>
          <w:rFonts w:ascii="Times New Roman" w:eastAsia="Times New Roman" w:hAnsi="Times New Roman" w:cs="Times New Roman"/>
          <w:i/>
          <w:iCs/>
          <w:sz w:val="20"/>
          <w:szCs w:val="20"/>
        </w:rPr>
      </w:pPr>
    </w:p>
    <w:p w14:paraId="191D0D44" w14:textId="77777777" w:rsidR="00536FE8" w:rsidRDefault="00536FE8">
      <w:pPr>
        <w:jc w:val="center"/>
        <w:rPr>
          <w:rFonts w:ascii="Times New Roman" w:eastAsia="Times New Roman" w:hAnsi="Times New Roman" w:cs="Times New Roman"/>
          <w:i/>
          <w:iCs/>
          <w:sz w:val="20"/>
          <w:szCs w:val="20"/>
        </w:rPr>
      </w:pPr>
    </w:p>
    <w:p w14:paraId="0A929C82" w14:textId="77777777" w:rsidR="00536FE8" w:rsidRDefault="00536FE8">
      <w:pPr>
        <w:jc w:val="center"/>
        <w:rPr>
          <w:rFonts w:ascii="Times New Roman" w:eastAsia="Times New Roman" w:hAnsi="Times New Roman" w:cs="Times New Roman"/>
          <w:i/>
          <w:iCs/>
          <w:sz w:val="20"/>
          <w:szCs w:val="20"/>
        </w:rPr>
      </w:pPr>
    </w:p>
    <w:p w14:paraId="358AE08C" w14:textId="77777777" w:rsidR="00536FE8" w:rsidRDefault="00536FE8">
      <w:pPr>
        <w:jc w:val="center"/>
        <w:rPr>
          <w:rFonts w:ascii="Times New Roman" w:eastAsia="Times New Roman" w:hAnsi="Times New Roman" w:cs="Times New Roman"/>
          <w:i/>
          <w:iCs/>
          <w:sz w:val="20"/>
          <w:szCs w:val="20"/>
        </w:rPr>
      </w:pPr>
    </w:p>
    <w:p w14:paraId="2BD532FA" w14:textId="77777777" w:rsidR="00536FE8" w:rsidRDefault="00536FE8">
      <w:pPr>
        <w:jc w:val="center"/>
        <w:rPr>
          <w:rFonts w:ascii="Times New Roman" w:eastAsia="Times New Roman" w:hAnsi="Times New Roman" w:cs="Times New Roman"/>
          <w:i/>
          <w:iCs/>
          <w:sz w:val="20"/>
          <w:szCs w:val="20"/>
        </w:rPr>
      </w:pPr>
    </w:p>
    <w:p w14:paraId="2D116BAD" w14:textId="77777777" w:rsidR="00536FE8"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lastRenderedPageBreak/>
        <w:drawing>
          <wp:inline distT="114300" distB="114300" distL="114300" distR="114300" wp14:anchorId="7AFAB92F" wp14:editId="7F9F309D">
            <wp:extent cx="5731200" cy="1193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1193800"/>
                    </a:xfrm>
                    <a:prstGeom prst="rect">
                      <a:avLst/>
                    </a:prstGeom>
                    <a:ln/>
                  </pic:spPr>
                </pic:pic>
              </a:graphicData>
            </a:graphic>
          </wp:inline>
        </w:drawing>
      </w:r>
    </w:p>
    <w:p w14:paraId="105C90EF" w14:textId="77777777" w:rsidR="00536FE8"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4. Pipe-and-filter View of AIRERA</w:t>
      </w:r>
    </w:p>
    <w:p w14:paraId="4A30E66F" w14:textId="77777777" w:rsidR="00536FE8" w:rsidRDefault="00000000">
      <w:pPr>
        <w:spacing w:before="240" w:after="240"/>
        <w:jc w:val="both"/>
        <w:rPr>
          <w:rFonts w:ascii="Times New Roman" w:eastAsia="Times New Roman" w:hAnsi="Times New Roman" w:cs="Times New Roman"/>
          <w:i/>
          <w:iCs/>
          <w:sz w:val="20"/>
          <w:szCs w:val="20"/>
        </w:rPr>
      </w:pPr>
      <w:r>
        <w:rPr>
          <w:rFonts w:ascii="Times New Roman" w:eastAsia="Times New Roman" w:hAnsi="Times New Roman" w:cs="Times New Roman"/>
        </w:rPr>
        <w:t>Figure 3 illustrates AIRERA’s pipe-and-filter view. Pipes between filters transmit artifacts in standardized formats, enabling individual filters to be replaced or reused without affecting the rest of the pipeline. This structure directly supports benchmarking, ablation studies, and controlled experimentation by allowing alternative processors or preprocessors to be swapped while keeping the remaining pipeline fixed.</w:t>
      </w:r>
    </w:p>
    <w:p w14:paraId="51050059" w14:textId="77777777" w:rsidR="00536FE8" w:rsidRDefault="00000000">
      <w:pPr>
        <w:pStyle w:val="Heading2"/>
        <w:rPr>
          <w:rFonts w:ascii="Times New Roman" w:eastAsia="Times New Roman" w:hAnsi="Times New Roman" w:cs="Times New Roman"/>
        </w:rPr>
      </w:pPr>
      <w:bookmarkStart w:id="7" w:name="_cuclp7kxnvah" w:colFirst="0" w:colLast="0"/>
      <w:bookmarkEnd w:id="7"/>
      <w:r>
        <w:rPr>
          <w:rFonts w:ascii="Times New Roman" w:eastAsia="Times New Roman" w:hAnsi="Times New Roman" w:cs="Times New Roman"/>
        </w:rPr>
        <w:t>3. Conclusions</w:t>
      </w:r>
    </w:p>
    <w:p w14:paraId="47EB2FDF" w14:textId="77777777" w:rsidR="00536FE8"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AIRERA provides a structured, view-based SRA tailored to the recurring needs of NLP4RE tools. By combining layered, service-oriented, and pipe-and-filter perspectives, the architecture offers complementary views on responsibility allocation, runtime interaction, and data processing, supporting modularity, interoperability, comparability, and long-term maintainability.</w:t>
      </w:r>
    </w:p>
    <w:p w14:paraId="24985A2D" w14:textId="77777777" w:rsidR="00536FE8" w:rsidRDefault="00000000">
      <w:pPr>
        <w:spacing w:before="240" w:after="240"/>
        <w:jc w:val="both"/>
      </w:pPr>
      <w:r>
        <w:rPr>
          <w:rFonts w:ascii="Times New Roman" w:eastAsia="Times New Roman" w:hAnsi="Times New Roman" w:cs="Times New Roman"/>
        </w:rPr>
        <w:t>This document is intended as a basis for expert evaluation and feedback. Practitioner input will be essential to assess the clarity, completeness, and practical usefulness of AIRERA, and to guide its iterative refinement toward a shared architectural foundation for the NLP4RE community.</w:t>
      </w:r>
    </w:p>
    <w:p w14:paraId="03C833DD" w14:textId="77777777" w:rsidR="00536FE8" w:rsidRDefault="00000000">
      <w:pPr>
        <w:pStyle w:val="Heading2"/>
        <w:rPr>
          <w:rFonts w:ascii="Times New Roman" w:eastAsia="Times New Roman" w:hAnsi="Times New Roman" w:cs="Times New Roman"/>
        </w:rPr>
      </w:pPr>
      <w:bookmarkStart w:id="8" w:name="_51qf4kpra1en" w:colFirst="0" w:colLast="0"/>
      <w:bookmarkEnd w:id="8"/>
      <w:r>
        <w:rPr>
          <w:rFonts w:ascii="Times New Roman" w:eastAsia="Times New Roman" w:hAnsi="Times New Roman" w:cs="Times New Roman"/>
        </w:rPr>
        <w:t>References</w:t>
      </w:r>
    </w:p>
    <w:p w14:paraId="327A4BA6"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L. Zhao, et al., Natural language processing for requirements engineering: A systematic mapping study, ACM Computing Surveys 54 (2022) Article 55, 1–41. doi:10.1145/3444689.</w:t>
      </w:r>
    </w:p>
    <w:p w14:paraId="18B4F925"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J. Frattini, et al., Requirements quality research artifacts: Recovery, analysis, and management guideline, Journal of Systems and Software (2024) 112120. </w:t>
      </w:r>
      <w:proofErr w:type="gramStart"/>
      <w:r>
        <w:rPr>
          <w:rFonts w:ascii="Times New Roman" w:eastAsia="Times New Roman" w:hAnsi="Times New Roman" w:cs="Times New Roman"/>
          <w:sz w:val="20"/>
          <w:szCs w:val="20"/>
        </w:rPr>
        <w:t>doi:10.1016/j.jss</w:t>
      </w:r>
      <w:proofErr w:type="gramEnd"/>
      <w:r>
        <w:rPr>
          <w:rFonts w:ascii="Times New Roman" w:eastAsia="Times New Roman" w:hAnsi="Times New Roman" w:cs="Times New Roman"/>
          <w:sz w:val="20"/>
          <w:szCs w:val="20"/>
        </w:rPr>
        <w:t>.2024.112120.</w:t>
      </w:r>
    </w:p>
    <w:p w14:paraId="71C6D21C"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 </w:t>
      </w:r>
      <w:proofErr w:type="spellStart"/>
      <w:r>
        <w:rPr>
          <w:rFonts w:ascii="Times New Roman" w:eastAsia="Times New Roman" w:hAnsi="Times New Roman" w:cs="Times New Roman"/>
          <w:sz w:val="20"/>
          <w:szCs w:val="20"/>
        </w:rPr>
        <w:t>Abualhaija</w:t>
      </w:r>
      <w:proofErr w:type="spellEnd"/>
      <w:r>
        <w:rPr>
          <w:rFonts w:ascii="Times New Roman" w:eastAsia="Times New Roman" w:hAnsi="Times New Roman" w:cs="Times New Roman"/>
          <w:sz w:val="20"/>
          <w:szCs w:val="20"/>
        </w:rPr>
        <w:t xml:space="preserve">, et al., Replication in requirements engineering: The NLP for RE case, ACM Transactions on Software Engineering and Methodology 33 (2024) Article 151, 33 pages. doi:10.1145/3658669 </w:t>
      </w:r>
    </w:p>
    <w:p w14:paraId="73777BEC"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E. Y. Nakagawa, et al., Consolidating a process for the design, representation, and evaluation of reference architectures, in: 2014 IEEE/IFIP Conference on Software Architecture, 2014, pp. 143–152. doi:10.1109/WICSA.2014.25.</w:t>
      </w:r>
    </w:p>
    <w:p w14:paraId="49DA0166"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P. Clements, F. Bachmann, L. Bass, D. </w:t>
      </w:r>
      <w:proofErr w:type="spellStart"/>
      <w:r>
        <w:rPr>
          <w:rFonts w:ascii="Times New Roman" w:eastAsia="Times New Roman" w:hAnsi="Times New Roman" w:cs="Times New Roman"/>
          <w:sz w:val="20"/>
          <w:szCs w:val="20"/>
        </w:rPr>
        <w:t>Garlan</w:t>
      </w:r>
      <w:proofErr w:type="spellEnd"/>
      <w:r>
        <w:rPr>
          <w:rFonts w:ascii="Times New Roman" w:eastAsia="Times New Roman" w:hAnsi="Times New Roman" w:cs="Times New Roman"/>
          <w:sz w:val="20"/>
          <w:szCs w:val="20"/>
        </w:rPr>
        <w:t xml:space="preserve">, J. </w:t>
      </w:r>
      <w:proofErr w:type="spellStart"/>
      <w:r>
        <w:rPr>
          <w:rFonts w:ascii="Times New Roman" w:eastAsia="Times New Roman" w:hAnsi="Times New Roman" w:cs="Times New Roman"/>
          <w:sz w:val="20"/>
          <w:szCs w:val="20"/>
        </w:rPr>
        <w:t>Ivers</w:t>
      </w:r>
      <w:proofErr w:type="spellEnd"/>
      <w:r>
        <w:rPr>
          <w:rFonts w:ascii="Times New Roman" w:eastAsia="Times New Roman" w:hAnsi="Times New Roman" w:cs="Times New Roman"/>
          <w:sz w:val="20"/>
          <w:szCs w:val="20"/>
        </w:rPr>
        <w:t>, R. Little, P. Merson, R. Nord, J. Stafford, Documenting software architectures: views and beyond, Addison Wesley, 2010.</w:t>
      </w:r>
    </w:p>
    <w:p w14:paraId="4B7478DA"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L. </w:t>
      </w:r>
      <w:proofErr w:type="spellStart"/>
      <w:r>
        <w:rPr>
          <w:rFonts w:ascii="Times New Roman" w:eastAsia="Times New Roman" w:hAnsi="Times New Roman" w:cs="Times New Roman"/>
          <w:sz w:val="20"/>
          <w:szCs w:val="20"/>
        </w:rPr>
        <w:t>Garcés</w:t>
      </w:r>
      <w:proofErr w:type="spellEnd"/>
      <w:r>
        <w:rPr>
          <w:rFonts w:ascii="Times New Roman" w:eastAsia="Times New Roman" w:hAnsi="Times New Roman" w:cs="Times New Roman"/>
          <w:sz w:val="20"/>
          <w:szCs w:val="20"/>
        </w:rPr>
        <w:t xml:space="preserve">, et al., Three decades of software reference architectures: A systematic mapping study, Journal of Systems and Software 179 (2021) 111004. </w:t>
      </w:r>
      <w:proofErr w:type="gramStart"/>
      <w:r>
        <w:rPr>
          <w:rFonts w:ascii="Times New Roman" w:eastAsia="Times New Roman" w:hAnsi="Times New Roman" w:cs="Times New Roman"/>
          <w:sz w:val="20"/>
          <w:szCs w:val="20"/>
        </w:rPr>
        <w:t>doi:10.1016/j.jss</w:t>
      </w:r>
      <w:proofErr w:type="gramEnd"/>
      <w:r>
        <w:rPr>
          <w:rFonts w:ascii="Times New Roman" w:eastAsia="Times New Roman" w:hAnsi="Times New Roman" w:cs="Times New Roman"/>
          <w:sz w:val="20"/>
          <w:szCs w:val="20"/>
        </w:rPr>
        <w:t>.2021.111004.</w:t>
      </w:r>
    </w:p>
    <w:p w14:paraId="4E4D1205" w14:textId="77777777" w:rsidR="00536FE8"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Frattini, J., Fischbach, J., &amp; Bauer, A. (2023, September). </w:t>
      </w:r>
      <w:proofErr w:type="spellStart"/>
      <w:r>
        <w:rPr>
          <w:rFonts w:ascii="Times New Roman" w:eastAsia="Times New Roman" w:hAnsi="Times New Roman" w:cs="Times New Roman"/>
          <w:sz w:val="20"/>
          <w:szCs w:val="20"/>
        </w:rPr>
        <w:t>CiRA</w:t>
      </w:r>
      <w:proofErr w:type="spellEnd"/>
      <w:r>
        <w:rPr>
          <w:rFonts w:ascii="Times New Roman" w:eastAsia="Times New Roman" w:hAnsi="Times New Roman" w:cs="Times New Roman"/>
          <w:sz w:val="20"/>
          <w:szCs w:val="20"/>
        </w:rPr>
        <w:t xml:space="preserve">: An open-source Python package for automated generation of test case descriptions from natural language requirements. In </w:t>
      </w:r>
      <w:r>
        <w:rPr>
          <w:rFonts w:ascii="Times New Roman" w:eastAsia="Times New Roman" w:hAnsi="Times New Roman" w:cs="Times New Roman"/>
          <w:i/>
          <w:iCs/>
          <w:sz w:val="20"/>
          <w:szCs w:val="20"/>
        </w:rPr>
        <w:t>2023 IEEE 31st International Requirements Engineering Conference Workshops (REW)</w:t>
      </w:r>
      <w:r>
        <w:rPr>
          <w:rFonts w:ascii="Times New Roman" w:eastAsia="Times New Roman" w:hAnsi="Times New Roman" w:cs="Times New Roman"/>
          <w:sz w:val="20"/>
          <w:szCs w:val="20"/>
        </w:rPr>
        <w:t xml:space="preserve"> (pp. 68-71). IEEE.</w:t>
      </w:r>
    </w:p>
    <w:sectPr w:rsidR="00536FE8">
      <w:headerReference w:type="default" r:id="rId11"/>
      <w:footerReference w:type="default" r:id="rId12"/>
      <w:foot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A9914" w14:textId="77777777" w:rsidR="00BC2845" w:rsidRDefault="00BC2845">
      <w:pPr>
        <w:spacing w:line="240" w:lineRule="auto"/>
      </w:pPr>
      <w:r>
        <w:separator/>
      </w:r>
    </w:p>
  </w:endnote>
  <w:endnote w:type="continuationSeparator" w:id="0">
    <w:p w14:paraId="01B04B9D" w14:textId="77777777" w:rsidR="00BC2845" w:rsidRDefault="00BC28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9482DB-2A76-4345-B6BE-B8F79C4C9CF5}"/>
  </w:font>
  <w:font w:name="Cambria">
    <w:panose1 w:val="02040503050406030204"/>
    <w:charset w:val="00"/>
    <w:family w:val="roman"/>
    <w:pitch w:val="variable"/>
    <w:sig w:usb0="E00006FF" w:usb1="420024FF" w:usb2="02000000" w:usb3="00000000" w:csb0="0000019F" w:csb1="00000000"/>
    <w:embedRegular r:id="rId2" w:fontKey="{984238F8-FDB0-43E4-B49D-9BE5624CD3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5C70E" w14:textId="4583BCAF" w:rsidR="00536FE8" w:rsidRDefault="00000000">
    <w:pPr>
      <w:rPr>
        <w:rFonts w:ascii="Times New Roman" w:eastAsia="Times New Roman" w:hAnsi="Times New Roman" w:cs="Times New Roman"/>
        <w:color w:val="666666"/>
        <w:sz w:val="18"/>
        <w:szCs w:val="18"/>
      </w:rPr>
    </w:pPr>
    <w:r>
      <w:rPr>
        <w:rFonts w:ascii="Times New Roman" w:eastAsia="Times New Roman" w:hAnsi="Times New Roman" w:cs="Times New Roman"/>
        <w:color w:val="666666"/>
        <w:sz w:val="18"/>
        <w:szCs w:val="18"/>
      </w:rPr>
      <w:t xml:space="preserve">© 2026 </w:t>
    </w:r>
    <w:r w:rsidR="00DB7ADC">
      <w:rPr>
        <w:rFonts w:ascii="Times New Roman" w:eastAsia="Times New Roman" w:hAnsi="Times New Roman" w:cs="Times New Roman"/>
        <w:color w:val="666666"/>
        <w:sz w:val="18"/>
        <w:szCs w:val="18"/>
      </w:rPr>
      <w:t>Anonymous</w:t>
    </w:r>
    <w:r>
      <w:rPr>
        <w:rFonts w:ascii="Times New Roman" w:eastAsia="Times New Roman" w:hAnsi="Times New Roman" w:cs="Times New Roman"/>
        <w:color w:val="666666"/>
        <w:sz w:val="18"/>
        <w:szCs w:val="18"/>
      </w:rPr>
      <w:t>. All rights reserved. This document is shared for review and discussion purposes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392BE" w14:textId="77777777" w:rsidR="00536FE8" w:rsidRDefault="00000000">
    <w:pPr>
      <w:jc w:val="right"/>
    </w:pPr>
    <w:r>
      <w:fldChar w:fldCharType="begin"/>
    </w:r>
    <w:r>
      <w:instrText>PAGE</w:instrText>
    </w:r>
    <w:r>
      <w:fldChar w:fldCharType="separate"/>
    </w:r>
    <w:r w:rsidR="00DB7A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14EEC" w14:textId="77777777" w:rsidR="00BC2845" w:rsidRDefault="00BC2845">
      <w:pPr>
        <w:spacing w:line="240" w:lineRule="auto"/>
      </w:pPr>
      <w:r>
        <w:separator/>
      </w:r>
    </w:p>
  </w:footnote>
  <w:footnote w:type="continuationSeparator" w:id="0">
    <w:p w14:paraId="2970FB42" w14:textId="77777777" w:rsidR="00BC2845" w:rsidRDefault="00BC28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5419B" w14:textId="77777777" w:rsidR="00536FE8" w:rsidRDefault="00000000">
    <w:pPr>
      <w:rPr>
        <w:rFonts w:ascii="Times New Roman" w:eastAsia="Times New Roman" w:hAnsi="Times New Roman" w:cs="Times New Roman"/>
        <w:color w:val="666666"/>
      </w:rPr>
    </w:pPr>
    <w:r>
      <w:rPr>
        <w:rFonts w:ascii="Times New Roman" w:eastAsia="Times New Roman" w:hAnsi="Times New Roman" w:cs="Times New Roman"/>
        <w:color w:val="666666"/>
      </w:rPr>
      <w:t>AIRERA</w:t>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t xml:space="preserve">     </w:t>
    </w:r>
    <w:r>
      <w:rPr>
        <w:rFonts w:ascii="Times New Roman" w:eastAsia="Times New Roman" w:hAnsi="Times New Roman" w:cs="Times New Roman"/>
        <w:color w:val="666666"/>
      </w:rPr>
      <w:fldChar w:fldCharType="begin"/>
    </w:r>
    <w:r>
      <w:rPr>
        <w:rFonts w:ascii="Times New Roman" w:eastAsia="Times New Roman" w:hAnsi="Times New Roman" w:cs="Times New Roman"/>
        <w:color w:val="666666"/>
      </w:rPr>
      <w:instrText>PAGE</w:instrText>
    </w:r>
    <w:r>
      <w:rPr>
        <w:rFonts w:ascii="Times New Roman" w:eastAsia="Times New Roman" w:hAnsi="Times New Roman" w:cs="Times New Roman"/>
        <w:color w:val="666666"/>
      </w:rPr>
      <w:fldChar w:fldCharType="separate"/>
    </w:r>
    <w:r w:rsidR="00DB7ADC">
      <w:rPr>
        <w:rFonts w:ascii="Times New Roman" w:eastAsia="Times New Roman" w:hAnsi="Times New Roman" w:cs="Times New Roman"/>
        <w:noProof/>
        <w:color w:val="666666"/>
      </w:rPr>
      <w:t>2</w:t>
    </w:r>
    <w:r>
      <w:rPr>
        <w:rFonts w:ascii="Times New Roman" w:eastAsia="Times New Roman" w:hAnsi="Times New Roman" w:cs="Times New Roman"/>
        <w:color w:val="666666"/>
      </w:rPr>
      <w:fldChar w:fldCharType="end"/>
    </w:r>
    <w:r>
      <w:rPr>
        <w:rFonts w:ascii="Times New Roman" w:eastAsia="Times New Roman" w:hAnsi="Times New Roman" w:cs="Times New Roman"/>
        <w:color w:val="666666"/>
      </w:rPr>
      <w:tab/>
    </w:r>
    <w:r>
      <w:rPr>
        <w:rFonts w:ascii="Times New Roman" w:eastAsia="Times New Roman" w:hAnsi="Times New Roman" w:cs="Times New Roman"/>
        <w:color w:val="666666"/>
      </w:rPr>
      <w:tab/>
    </w:r>
    <w:r>
      <w:rPr>
        <w:rFonts w:ascii="Times New Roman" w:eastAsia="Times New Roman" w:hAnsi="Times New Roman" w:cs="Times New Roman"/>
        <w:color w:val="66666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266C6"/>
    <w:multiLevelType w:val="multilevel"/>
    <w:tmpl w:val="EA72D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C5754B"/>
    <w:multiLevelType w:val="multilevel"/>
    <w:tmpl w:val="2E6C4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9C2EA7"/>
    <w:multiLevelType w:val="multilevel"/>
    <w:tmpl w:val="0D408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8C170B"/>
    <w:multiLevelType w:val="multilevel"/>
    <w:tmpl w:val="6C881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1547260">
    <w:abstractNumId w:val="1"/>
  </w:num>
  <w:num w:numId="2" w16cid:durableId="1295208876">
    <w:abstractNumId w:val="0"/>
  </w:num>
  <w:num w:numId="3" w16cid:durableId="2089962496">
    <w:abstractNumId w:val="3"/>
  </w:num>
  <w:num w:numId="4" w16cid:durableId="45063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FE8"/>
    <w:rsid w:val="00536FE8"/>
    <w:rsid w:val="00BC2845"/>
    <w:rsid w:val="00C8177A"/>
    <w:rsid w:val="00DB7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7B2F"/>
  <w15:docId w15:val="{80D24CBF-B055-4C5B-AE72-124943553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DB7ADC"/>
    <w:pPr>
      <w:tabs>
        <w:tab w:val="center" w:pos="4419"/>
        <w:tab w:val="right" w:pos="8838"/>
      </w:tabs>
      <w:spacing w:line="240" w:lineRule="auto"/>
    </w:pPr>
  </w:style>
  <w:style w:type="character" w:customStyle="1" w:styleId="HeaderChar">
    <w:name w:val="Header Char"/>
    <w:basedOn w:val="DefaultParagraphFont"/>
    <w:link w:val="Header"/>
    <w:uiPriority w:val="99"/>
    <w:rsid w:val="00DB7ADC"/>
  </w:style>
  <w:style w:type="paragraph" w:styleId="Footer">
    <w:name w:val="footer"/>
    <w:basedOn w:val="Normal"/>
    <w:link w:val="FooterChar"/>
    <w:uiPriority w:val="99"/>
    <w:unhideWhenUsed/>
    <w:rsid w:val="00DB7ADC"/>
    <w:pPr>
      <w:tabs>
        <w:tab w:val="center" w:pos="4419"/>
        <w:tab w:val="right" w:pos="8838"/>
      </w:tabs>
      <w:spacing w:line="240" w:lineRule="auto"/>
    </w:pPr>
  </w:style>
  <w:style w:type="character" w:customStyle="1" w:styleId="FooterChar">
    <w:name w:val="Footer Char"/>
    <w:basedOn w:val="DefaultParagraphFont"/>
    <w:link w:val="Footer"/>
    <w:uiPriority w:val="99"/>
    <w:rsid w:val="00DB7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Joaquim Motger de la Encarnación</cp:lastModifiedBy>
  <cp:revision>2</cp:revision>
  <dcterms:created xsi:type="dcterms:W3CDTF">2026-02-23T15:42:00Z</dcterms:created>
  <dcterms:modified xsi:type="dcterms:W3CDTF">2026-02-23T15:42:00Z</dcterms:modified>
</cp:coreProperties>
</file>