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6D29" w:rsidRPr="009E06B9" w:rsidRDefault="00246D29" w:rsidP="00246D29">
      <w:pPr>
        <w:spacing w:line="480" w:lineRule="auto"/>
        <w:jc w:val="both"/>
        <w:rPr>
          <w:sz w:val="20"/>
          <w:szCs w:val="20"/>
          <w:lang w:val="en-US"/>
        </w:rPr>
      </w:pPr>
      <w:r w:rsidRPr="00D31C41">
        <w:rPr>
          <w:b/>
          <w:sz w:val="20"/>
          <w:szCs w:val="20"/>
          <w:lang w:val="en-US"/>
        </w:rPr>
        <w:t xml:space="preserve">Table 2. List of manually selected phenotypes related with DILI. </w:t>
      </w:r>
      <w:r w:rsidRPr="00D31C41">
        <w:rPr>
          <w:sz w:val="20"/>
          <w:szCs w:val="20"/>
          <w:lang w:val="en-US"/>
        </w:rPr>
        <w:t xml:space="preserve">The selected phenotypes were required to have 10 gene associations or more. The genetically redundant phenotypes have been merged in the same term. The empty cells correspond to phenotypes for which the expansion through the network using GUILDify was not functionally coherent. </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1701"/>
        <w:gridCol w:w="1985"/>
        <w:gridCol w:w="1951"/>
      </w:tblGrid>
      <w:tr w:rsidR="00246D29" w:rsidRPr="00D31C41" w:rsidTr="003B4B24">
        <w:trPr>
          <w:trHeight w:val="900"/>
          <w:jc w:val="center"/>
        </w:trPr>
        <w:tc>
          <w:tcPr>
            <w:tcW w:w="3392" w:type="dxa"/>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b/>
                <w:sz w:val="20"/>
                <w:szCs w:val="20"/>
                <w:lang w:val="en-US"/>
              </w:rPr>
            </w:pPr>
            <w:r w:rsidRPr="00D31C41">
              <w:rPr>
                <w:b/>
                <w:sz w:val="20"/>
                <w:szCs w:val="20"/>
                <w:lang w:val="en-US"/>
              </w:rPr>
              <w:t>DILI Phenotypes</w:t>
            </w:r>
          </w:p>
        </w:tc>
        <w:tc>
          <w:tcPr>
            <w:tcW w:w="1701" w:type="dxa"/>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b/>
                <w:sz w:val="20"/>
                <w:szCs w:val="20"/>
                <w:lang w:val="en-US"/>
              </w:rPr>
            </w:pPr>
            <w:r w:rsidRPr="00D31C41">
              <w:rPr>
                <w:b/>
                <w:sz w:val="20"/>
                <w:szCs w:val="20"/>
                <w:lang w:val="en-US"/>
              </w:rPr>
              <w:t>UMLS</w:t>
            </w:r>
          </w:p>
        </w:tc>
        <w:tc>
          <w:tcPr>
            <w:tcW w:w="1985" w:type="dxa"/>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b/>
                <w:sz w:val="20"/>
                <w:szCs w:val="20"/>
                <w:lang w:val="en-US"/>
              </w:rPr>
            </w:pPr>
            <w:r w:rsidRPr="00D31C41">
              <w:rPr>
                <w:b/>
                <w:sz w:val="20"/>
                <w:szCs w:val="20"/>
                <w:lang w:val="en-US"/>
              </w:rPr>
              <w:t>Number of genes associated in DisGeNET</w:t>
            </w:r>
          </w:p>
        </w:tc>
        <w:tc>
          <w:tcPr>
            <w:tcW w:w="1951" w:type="dxa"/>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b/>
                <w:sz w:val="20"/>
                <w:szCs w:val="20"/>
                <w:lang w:val="en-US"/>
              </w:rPr>
            </w:pPr>
            <w:r w:rsidRPr="00D31C41">
              <w:rPr>
                <w:b/>
                <w:sz w:val="20"/>
                <w:szCs w:val="20"/>
                <w:lang w:val="en-US"/>
              </w:rPr>
              <w:t>Number of genes associated in GUILDify</w:t>
            </w:r>
          </w:p>
        </w:tc>
      </w:tr>
      <w:tr w:rsidR="00246D29" w:rsidRPr="00D31C41" w:rsidTr="003B4B24">
        <w:trPr>
          <w:jc w:val="center"/>
        </w:trPr>
        <w:tc>
          <w:tcPr>
            <w:tcW w:w="3392" w:type="dxa"/>
            <w:tcBorders>
              <w:top w:val="single" w:sz="18" w:space="0" w:color="auto"/>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Biliary cirrhosis</w:t>
            </w:r>
          </w:p>
        </w:tc>
        <w:tc>
          <w:tcPr>
            <w:tcW w:w="1701" w:type="dxa"/>
            <w:tcBorders>
              <w:top w:val="single" w:sz="18"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C0023892</w:t>
            </w:r>
          </w:p>
        </w:tc>
        <w:tc>
          <w:tcPr>
            <w:tcW w:w="1985" w:type="dxa"/>
            <w:tcBorders>
              <w:top w:val="single" w:sz="18" w:space="0" w:color="auto"/>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33</w:t>
            </w:r>
          </w:p>
        </w:tc>
        <w:tc>
          <w:tcPr>
            <w:tcW w:w="1951" w:type="dxa"/>
            <w:tcBorders>
              <w:top w:val="single" w:sz="18" w:space="0" w:color="auto"/>
              <w:bottom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86</w:t>
            </w:r>
          </w:p>
        </w:tc>
      </w:tr>
      <w:tr w:rsidR="00246D29" w:rsidRPr="00D31C41" w:rsidTr="003B4B24">
        <w:trPr>
          <w:jc w:val="center"/>
        </w:trPr>
        <w:tc>
          <w:tcPr>
            <w:tcW w:w="3392"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Hepatitis, Drug-</w:t>
            </w:r>
            <w:proofErr w:type="gramStart"/>
            <w:r w:rsidRPr="00D31C41">
              <w:rPr>
                <w:sz w:val="20"/>
                <w:szCs w:val="20"/>
                <w:lang w:val="en-US"/>
              </w:rPr>
              <w:t>Induced;</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r w:rsidRPr="00D31C41">
              <w:rPr>
                <w:sz w:val="20"/>
                <w:szCs w:val="20"/>
                <w:lang w:val="en-US"/>
              </w:rPr>
              <w:t xml:space="preserve">Drug-Induced Liver </w:t>
            </w:r>
            <w:proofErr w:type="gramStart"/>
            <w:r w:rsidRPr="00D31C41">
              <w:rPr>
                <w:sz w:val="20"/>
                <w:szCs w:val="20"/>
                <w:lang w:val="en-US"/>
              </w:rPr>
              <w:t>Disease;</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r w:rsidRPr="00D31C41">
              <w:rPr>
                <w:sz w:val="20"/>
                <w:szCs w:val="20"/>
                <w:lang w:val="en-US"/>
              </w:rPr>
              <w:t>Drug-Induced Acute Liver Injury</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proofErr w:type="gramStart"/>
            <w:r w:rsidRPr="00D31C41">
              <w:rPr>
                <w:sz w:val="20"/>
                <w:szCs w:val="20"/>
                <w:lang w:val="en-US"/>
              </w:rPr>
              <w:t>C1262760;</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proofErr w:type="gramStart"/>
            <w:r w:rsidRPr="00D31C41">
              <w:rPr>
                <w:sz w:val="20"/>
                <w:szCs w:val="20"/>
                <w:lang w:val="en-US"/>
              </w:rPr>
              <w:t>C0860207;</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r w:rsidRPr="00D31C41">
              <w:rPr>
                <w:sz w:val="20"/>
                <w:szCs w:val="20"/>
                <w:lang w:val="en-US"/>
              </w:rPr>
              <w:t>C3658290</w:t>
            </w:r>
          </w:p>
        </w:tc>
        <w:tc>
          <w:tcPr>
            <w:tcW w:w="1985"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315</w:t>
            </w:r>
          </w:p>
        </w:tc>
        <w:tc>
          <w:tcPr>
            <w:tcW w:w="1951" w:type="dxa"/>
            <w:tcBorders>
              <w:tl2br w:val="single" w:sz="4" w:space="0" w:color="auto"/>
            </w:tcBorders>
            <w:shd w:val="clear" w:color="auto" w:fill="EFEFEF"/>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p>
        </w:tc>
      </w:tr>
      <w:tr w:rsidR="00246D29" w:rsidRPr="00D31C41" w:rsidTr="003B4B24">
        <w:trPr>
          <w:jc w:val="center"/>
        </w:trPr>
        <w:tc>
          <w:tcPr>
            <w:tcW w:w="3392"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Hyperammonemia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C0220994</w:t>
            </w:r>
          </w:p>
        </w:tc>
        <w:tc>
          <w:tcPr>
            <w:tcW w:w="1985"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104</w:t>
            </w:r>
          </w:p>
        </w:tc>
        <w:tc>
          <w:tcPr>
            <w:tcW w:w="1951"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148</w:t>
            </w:r>
          </w:p>
        </w:tc>
      </w:tr>
      <w:tr w:rsidR="00246D29" w:rsidRPr="00D31C41" w:rsidTr="003B4B24">
        <w:trPr>
          <w:jc w:val="center"/>
        </w:trPr>
        <w:tc>
          <w:tcPr>
            <w:tcW w:w="3392"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 xml:space="preserve">Liver </w:t>
            </w:r>
            <w:proofErr w:type="gramStart"/>
            <w:r w:rsidRPr="00D31C41">
              <w:rPr>
                <w:sz w:val="20"/>
                <w:szCs w:val="20"/>
                <w:lang w:val="en-US"/>
              </w:rPr>
              <w:t>Cirrhosis;</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r w:rsidRPr="00D31C41">
              <w:rPr>
                <w:sz w:val="20"/>
                <w:szCs w:val="20"/>
                <w:lang w:val="en-US"/>
              </w:rPr>
              <w:t>Fibrosis, Liver</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proofErr w:type="gramStart"/>
            <w:r w:rsidRPr="00D31C41">
              <w:rPr>
                <w:sz w:val="20"/>
                <w:szCs w:val="20"/>
                <w:lang w:val="en-US"/>
              </w:rPr>
              <w:t>C0023890;</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r w:rsidRPr="00D31C41">
              <w:rPr>
                <w:sz w:val="20"/>
                <w:szCs w:val="20"/>
                <w:lang w:val="en-US"/>
              </w:rPr>
              <w:t>C0239946</w:t>
            </w:r>
          </w:p>
        </w:tc>
        <w:tc>
          <w:tcPr>
            <w:tcW w:w="1985"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97</w:t>
            </w:r>
          </w:p>
        </w:tc>
        <w:tc>
          <w:tcPr>
            <w:tcW w:w="1951" w:type="dxa"/>
            <w:tcBorders>
              <w:bottom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145</w:t>
            </w:r>
          </w:p>
        </w:tc>
      </w:tr>
      <w:tr w:rsidR="00246D29" w:rsidRPr="00D31C41" w:rsidTr="003B4B24">
        <w:trPr>
          <w:jc w:val="center"/>
        </w:trPr>
        <w:tc>
          <w:tcPr>
            <w:tcW w:w="3392"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Liver Cirrhosis, Alcoholic</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C0023891</w:t>
            </w:r>
          </w:p>
        </w:tc>
        <w:tc>
          <w:tcPr>
            <w:tcW w:w="1985"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30</w:t>
            </w:r>
          </w:p>
        </w:tc>
        <w:tc>
          <w:tcPr>
            <w:tcW w:w="1951" w:type="dxa"/>
            <w:tcBorders>
              <w:tl2br w:val="single" w:sz="4" w:space="0" w:color="auto"/>
            </w:tcBorders>
            <w:shd w:val="clear" w:color="auto" w:fill="EFEFEF"/>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p>
        </w:tc>
      </w:tr>
      <w:tr w:rsidR="00246D29" w:rsidRPr="00D31C41" w:rsidTr="003B4B24">
        <w:trPr>
          <w:jc w:val="center"/>
        </w:trPr>
        <w:tc>
          <w:tcPr>
            <w:tcW w:w="3392"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 xml:space="preserve">Liver </w:t>
            </w:r>
            <w:proofErr w:type="gramStart"/>
            <w:r w:rsidRPr="00D31C41">
              <w:rPr>
                <w:sz w:val="20"/>
                <w:szCs w:val="20"/>
                <w:lang w:val="en-US"/>
              </w:rPr>
              <w:t>Dysfunction;</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r w:rsidRPr="00D31C41">
              <w:rPr>
                <w:sz w:val="20"/>
                <w:szCs w:val="20"/>
                <w:lang w:val="en-US"/>
              </w:rPr>
              <w:t>Liver diseases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proofErr w:type="gramStart"/>
            <w:r w:rsidRPr="00D31C41">
              <w:rPr>
                <w:sz w:val="20"/>
                <w:szCs w:val="20"/>
                <w:lang w:val="en-US"/>
              </w:rPr>
              <w:t>C0086565;</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r w:rsidRPr="00D31C41">
              <w:rPr>
                <w:sz w:val="20"/>
                <w:szCs w:val="20"/>
                <w:lang w:val="en-US"/>
              </w:rPr>
              <w:t>C0023895</w:t>
            </w:r>
          </w:p>
        </w:tc>
        <w:tc>
          <w:tcPr>
            <w:tcW w:w="1985"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67</w:t>
            </w:r>
          </w:p>
        </w:tc>
        <w:tc>
          <w:tcPr>
            <w:tcW w:w="1951" w:type="dxa"/>
            <w:tcBorders>
              <w:tl2br w:val="single" w:sz="4" w:space="0" w:color="auto"/>
            </w:tcBorders>
            <w:shd w:val="clear" w:color="auto" w:fill="EFEFEF"/>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p>
        </w:tc>
      </w:tr>
      <w:tr w:rsidR="00246D29" w:rsidRPr="00D31C41" w:rsidTr="003B4B24">
        <w:trPr>
          <w:jc w:val="center"/>
        </w:trPr>
        <w:tc>
          <w:tcPr>
            <w:tcW w:w="3392"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Liver Failure, Acute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C0162557</w:t>
            </w:r>
          </w:p>
        </w:tc>
        <w:tc>
          <w:tcPr>
            <w:tcW w:w="1985"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22</w:t>
            </w:r>
          </w:p>
        </w:tc>
        <w:tc>
          <w:tcPr>
            <w:tcW w:w="1951" w:type="dxa"/>
            <w:tcBorders>
              <w:bottom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118</w:t>
            </w:r>
          </w:p>
        </w:tc>
      </w:tr>
      <w:tr w:rsidR="00246D29" w:rsidRPr="00D31C41" w:rsidTr="003B4B24">
        <w:trPr>
          <w:jc w:val="center"/>
        </w:trPr>
        <w:tc>
          <w:tcPr>
            <w:tcW w:w="3392"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 xml:space="preserve">Nonalcoholic </w:t>
            </w:r>
            <w:proofErr w:type="gramStart"/>
            <w:r w:rsidRPr="00D31C41">
              <w:rPr>
                <w:sz w:val="20"/>
                <w:szCs w:val="20"/>
                <w:lang w:val="en-US"/>
              </w:rPr>
              <w:t>Steatohepatitis;</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r w:rsidRPr="00D31C41">
              <w:rPr>
                <w:sz w:val="20"/>
                <w:szCs w:val="20"/>
                <w:lang w:val="en-US"/>
              </w:rPr>
              <w:t>Non-alcoholic Fatty Liver Disease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proofErr w:type="gramStart"/>
            <w:r w:rsidRPr="00D31C41">
              <w:rPr>
                <w:sz w:val="20"/>
                <w:szCs w:val="20"/>
                <w:lang w:val="en-US"/>
              </w:rPr>
              <w:t>C3241937;</w:t>
            </w:r>
            <w:proofErr w:type="gramEnd"/>
            <w:r w:rsidRPr="00D31C41">
              <w:rPr>
                <w:sz w:val="20"/>
                <w:szCs w:val="20"/>
                <w:lang w:val="en-US"/>
              </w:rPr>
              <w:t xml:space="preserve"> </w:t>
            </w:r>
          </w:p>
          <w:p w:rsidR="00246D29" w:rsidRPr="00D31C41" w:rsidRDefault="00246D29" w:rsidP="003B4B24">
            <w:pPr>
              <w:widowControl w:val="0"/>
              <w:spacing w:line="240" w:lineRule="auto"/>
              <w:jc w:val="center"/>
              <w:rPr>
                <w:sz w:val="20"/>
                <w:szCs w:val="20"/>
                <w:lang w:val="en-US"/>
              </w:rPr>
            </w:pPr>
            <w:r w:rsidRPr="00D31C41">
              <w:rPr>
                <w:sz w:val="20"/>
                <w:szCs w:val="20"/>
                <w:lang w:val="en-US"/>
              </w:rPr>
              <w:t>C0400966</w:t>
            </w:r>
          </w:p>
        </w:tc>
        <w:tc>
          <w:tcPr>
            <w:tcW w:w="1985"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42</w:t>
            </w:r>
          </w:p>
        </w:tc>
        <w:tc>
          <w:tcPr>
            <w:tcW w:w="1951" w:type="dxa"/>
            <w:tcMar>
              <w:top w:w="100" w:type="dxa"/>
              <w:left w:w="100" w:type="dxa"/>
              <w:bottom w:w="100" w:type="dxa"/>
              <w:right w:w="100" w:type="dxa"/>
            </w:tcMar>
            <w:vAlign w:val="center"/>
          </w:tcPr>
          <w:p w:rsidR="00246D29" w:rsidRPr="00D31C41" w:rsidRDefault="00246D29" w:rsidP="003B4B24">
            <w:pPr>
              <w:widowControl w:val="0"/>
              <w:spacing w:line="240" w:lineRule="auto"/>
              <w:jc w:val="center"/>
              <w:rPr>
                <w:sz w:val="20"/>
                <w:szCs w:val="20"/>
                <w:lang w:val="en-US"/>
              </w:rPr>
            </w:pPr>
            <w:r w:rsidRPr="00D31C41">
              <w:rPr>
                <w:sz w:val="20"/>
                <w:szCs w:val="20"/>
                <w:lang w:val="en-US"/>
              </w:rPr>
              <w:t>67</w:t>
            </w:r>
          </w:p>
        </w:tc>
      </w:tr>
      <w:tr w:rsidR="00246D29" w:rsidRPr="00183724" w:rsidTr="003B4B24">
        <w:trPr>
          <w:jc w:val="center"/>
        </w:trPr>
        <w:tc>
          <w:tcPr>
            <w:tcW w:w="3392" w:type="dxa"/>
            <w:tcBorders>
              <w:bottom w:val="single" w:sz="18" w:space="0" w:color="auto"/>
            </w:tcBorders>
            <w:tcMar>
              <w:top w:w="100" w:type="dxa"/>
              <w:left w:w="100" w:type="dxa"/>
              <w:bottom w:w="100" w:type="dxa"/>
              <w:right w:w="100" w:type="dxa"/>
            </w:tcMar>
            <w:vAlign w:val="center"/>
          </w:tcPr>
          <w:p w:rsidR="00246D29" w:rsidRPr="00183724" w:rsidRDefault="00246D29" w:rsidP="003B4B24">
            <w:pPr>
              <w:widowControl w:val="0"/>
              <w:spacing w:line="240" w:lineRule="auto"/>
              <w:jc w:val="center"/>
              <w:rPr>
                <w:sz w:val="20"/>
                <w:szCs w:val="20"/>
                <w:lang w:val="en-US"/>
              </w:rPr>
            </w:pPr>
            <w:proofErr w:type="gramStart"/>
            <w:r w:rsidRPr="00183724">
              <w:rPr>
                <w:sz w:val="20"/>
                <w:szCs w:val="20"/>
                <w:lang w:val="en-US"/>
              </w:rPr>
              <w:t>Steatohepatitis;</w:t>
            </w:r>
            <w:proofErr w:type="gramEnd"/>
            <w:r w:rsidRPr="00183724">
              <w:rPr>
                <w:sz w:val="20"/>
                <w:szCs w:val="20"/>
                <w:lang w:val="en-US"/>
              </w:rPr>
              <w:t xml:space="preserve"> </w:t>
            </w:r>
          </w:p>
          <w:p w:rsidR="00246D29" w:rsidRPr="00183724" w:rsidRDefault="00246D29" w:rsidP="003B4B24">
            <w:pPr>
              <w:widowControl w:val="0"/>
              <w:spacing w:line="240" w:lineRule="auto"/>
              <w:jc w:val="center"/>
              <w:rPr>
                <w:sz w:val="20"/>
                <w:szCs w:val="20"/>
                <w:lang w:val="en-US"/>
              </w:rPr>
            </w:pPr>
            <w:r w:rsidRPr="00183724">
              <w:rPr>
                <w:sz w:val="20"/>
                <w:szCs w:val="20"/>
                <w:lang w:val="en-US"/>
              </w:rPr>
              <w:t>Fatty Liver</w:t>
            </w:r>
          </w:p>
        </w:tc>
        <w:tc>
          <w:tcPr>
            <w:tcW w:w="1701" w:type="dxa"/>
            <w:tcBorders>
              <w:top w:val="single" w:sz="8" w:space="0" w:color="000000"/>
              <w:left w:val="single" w:sz="8" w:space="0" w:color="000000"/>
              <w:bottom w:val="single" w:sz="18" w:space="0" w:color="auto"/>
              <w:right w:val="single" w:sz="8" w:space="0" w:color="000000"/>
            </w:tcBorders>
            <w:tcMar>
              <w:top w:w="100" w:type="dxa"/>
              <w:left w:w="100" w:type="dxa"/>
              <w:bottom w:w="100" w:type="dxa"/>
              <w:right w:w="100" w:type="dxa"/>
            </w:tcMar>
            <w:vAlign w:val="center"/>
          </w:tcPr>
          <w:p w:rsidR="00246D29" w:rsidRPr="00183724" w:rsidRDefault="00246D29" w:rsidP="003B4B24">
            <w:pPr>
              <w:widowControl w:val="0"/>
              <w:spacing w:line="240" w:lineRule="auto"/>
              <w:jc w:val="center"/>
              <w:rPr>
                <w:sz w:val="20"/>
                <w:szCs w:val="20"/>
                <w:lang w:val="en-US"/>
              </w:rPr>
            </w:pPr>
            <w:proofErr w:type="gramStart"/>
            <w:r w:rsidRPr="00183724">
              <w:rPr>
                <w:sz w:val="20"/>
                <w:szCs w:val="20"/>
                <w:lang w:val="en-US"/>
              </w:rPr>
              <w:t>C2711227;</w:t>
            </w:r>
            <w:proofErr w:type="gramEnd"/>
            <w:r w:rsidRPr="00183724">
              <w:rPr>
                <w:sz w:val="20"/>
                <w:szCs w:val="20"/>
                <w:lang w:val="en-US"/>
              </w:rPr>
              <w:t xml:space="preserve"> </w:t>
            </w:r>
          </w:p>
          <w:p w:rsidR="00246D29" w:rsidRPr="00183724" w:rsidRDefault="00246D29" w:rsidP="003B4B24">
            <w:pPr>
              <w:widowControl w:val="0"/>
              <w:spacing w:line="240" w:lineRule="auto"/>
              <w:jc w:val="center"/>
              <w:rPr>
                <w:sz w:val="20"/>
                <w:szCs w:val="20"/>
                <w:lang w:val="en-US"/>
              </w:rPr>
            </w:pPr>
            <w:r w:rsidRPr="00183724">
              <w:rPr>
                <w:sz w:val="20"/>
                <w:szCs w:val="20"/>
                <w:lang w:val="en-US"/>
              </w:rPr>
              <w:t>C0015695</w:t>
            </w:r>
          </w:p>
        </w:tc>
        <w:tc>
          <w:tcPr>
            <w:tcW w:w="1985" w:type="dxa"/>
            <w:tcBorders>
              <w:bottom w:val="single" w:sz="18" w:space="0" w:color="auto"/>
            </w:tcBorders>
            <w:tcMar>
              <w:top w:w="100" w:type="dxa"/>
              <w:left w:w="100" w:type="dxa"/>
              <w:bottom w:w="100" w:type="dxa"/>
              <w:right w:w="100" w:type="dxa"/>
            </w:tcMar>
            <w:vAlign w:val="center"/>
          </w:tcPr>
          <w:p w:rsidR="00246D29" w:rsidRPr="00183724" w:rsidRDefault="00246D29" w:rsidP="003B4B24">
            <w:pPr>
              <w:widowControl w:val="0"/>
              <w:spacing w:line="240" w:lineRule="auto"/>
              <w:jc w:val="center"/>
              <w:rPr>
                <w:sz w:val="20"/>
                <w:szCs w:val="20"/>
                <w:lang w:val="en-US"/>
              </w:rPr>
            </w:pPr>
            <w:r w:rsidRPr="00183724">
              <w:rPr>
                <w:sz w:val="20"/>
                <w:szCs w:val="20"/>
                <w:lang w:val="en-US"/>
              </w:rPr>
              <w:t>86</w:t>
            </w:r>
          </w:p>
        </w:tc>
        <w:tc>
          <w:tcPr>
            <w:tcW w:w="1951" w:type="dxa"/>
            <w:tcBorders>
              <w:bottom w:val="single" w:sz="18" w:space="0" w:color="auto"/>
            </w:tcBorders>
            <w:tcMar>
              <w:top w:w="100" w:type="dxa"/>
              <w:left w:w="100" w:type="dxa"/>
              <w:bottom w:w="100" w:type="dxa"/>
              <w:right w:w="100" w:type="dxa"/>
            </w:tcMar>
            <w:vAlign w:val="center"/>
          </w:tcPr>
          <w:p w:rsidR="00246D29" w:rsidRPr="00183724" w:rsidRDefault="00246D29" w:rsidP="003B4B24">
            <w:pPr>
              <w:widowControl w:val="0"/>
              <w:spacing w:line="240" w:lineRule="auto"/>
              <w:jc w:val="center"/>
              <w:rPr>
                <w:sz w:val="20"/>
                <w:szCs w:val="20"/>
                <w:lang w:val="en-US"/>
              </w:rPr>
            </w:pPr>
            <w:r w:rsidRPr="00183724">
              <w:rPr>
                <w:sz w:val="20"/>
                <w:szCs w:val="20"/>
                <w:lang w:val="en-US"/>
              </w:rPr>
              <w:t>167</w:t>
            </w:r>
          </w:p>
        </w:tc>
      </w:tr>
      <w:tr w:rsidR="00246D29" w:rsidRPr="00D31C41" w:rsidTr="003B4B24">
        <w:trPr>
          <w:jc w:val="center"/>
        </w:trPr>
        <w:tc>
          <w:tcPr>
            <w:tcW w:w="5093" w:type="dxa"/>
            <w:gridSpan w:val="2"/>
            <w:tcBorders>
              <w:top w:val="single" w:sz="18" w:space="0" w:color="auto"/>
              <w:right w:val="single" w:sz="8" w:space="0" w:color="000000"/>
            </w:tcBorders>
            <w:tcMar>
              <w:top w:w="100" w:type="dxa"/>
              <w:left w:w="100" w:type="dxa"/>
              <w:bottom w:w="100" w:type="dxa"/>
              <w:right w:w="100" w:type="dxa"/>
            </w:tcMar>
            <w:vAlign w:val="center"/>
          </w:tcPr>
          <w:p w:rsidR="00246D29" w:rsidRPr="00183724" w:rsidRDefault="00246D29" w:rsidP="003B4B24">
            <w:pPr>
              <w:widowControl w:val="0"/>
              <w:spacing w:line="240" w:lineRule="auto"/>
              <w:jc w:val="center"/>
              <w:rPr>
                <w:sz w:val="20"/>
                <w:szCs w:val="20"/>
                <w:lang w:val="en-US"/>
              </w:rPr>
            </w:pPr>
            <w:r w:rsidRPr="00183724">
              <w:rPr>
                <w:sz w:val="20"/>
                <w:szCs w:val="20"/>
                <w:lang w:val="en-US"/>
              </w:rPr>
              <w:t>Number of different genes associated to DILI phenotypes</w:t>
            </w:r>
          </w:p>
        </w:tc>
        <w:tc>
          <w:tcPr>
            <w:tcW w:w="1985" w:type="dxa"/>
            <w:tcBorders>
              <w:top w:val="single" w:sz="18" w:space="0" w:color="auto"/>
            </w:tcBorders>
            <w:tcMar>
              <w:top w:w="100" w:type="dxa"/>
              <w:left w:w="100" w:type="dxa"/>
              <w:bottom w:w="100" w:type="dxa"/>
              <w:right w:w="100" w:type="dxa"/>
            </w:tcMar>
            <w:vAlign w:val="center"/>
          </w:tcPr>
          <w:p w:rsidR="00246D29" w:rsidRPr="00183724" w:rsidRDefault="00246D29" w:rsidP="003B4B24">
            <w:pPr>
              <w:widowControl w:val="0"/>
              <w:spacing w:line="240" w:lineRule="auto"/>
              <w:jc w:val="center"/>
              <w:rPr>
                <w:sz w:val="20"/>
                <w:szCs w:val="20"/>
                <w:lang w:val="en-US"/>
              </w:rPr>
            </w:pPr>
            <w:r w:rsidRPr="00183724">
              <w:rPr>
                <w:sz w:val="20"/>
                <w:szCs w:val="20"/>
                <w:lang w:val="en-US"/>
              </w:rPr>
              <w:t>641</w:t>
            </w:r>
          </w:p>
        </w:tc>
        <w:tc>
          <w:tcPr>
            <w:tcW w:w="1951" w:type="dxa"/>
            <w:tcBorders>
              <w:top w:val="single" w:sz="18" w:space="0" w:color="auto"/>
            </w:tcBorders>
            <w:tcMar>
              <w:top w:w="100" w:type="dxa"/>
              <w:left w:w="100" w:type="dxa"/>
              <w:bottom w:w="100" w:type="dxa"/>
              <w:right w:w="100" w:type="dxa"/>
            </w:tcMar>
            <w:vAlign w:val="center"/>
          </w:tcPr>
          <w:p w:rsidR="00246D29" w:rsidRPr="00183724" w:rsidRDefault="00246D29" w:rsidP="003B4B24">
            <w:pPr>
              <w:widowControl w:val="0"/>
              <w:spacing w:line="240" w:lineRule="auto"/>
              <w:jc w:val="center"/>
              <w:rPr>
                <w:sz w:val="20"/>
                <w:szCs w:val="20"/>
                <w:lang w:val="en-US"/>
              </w:rPr>
            </w:pPr>
            <w:r w:rsidRPr="00183724">
              <w:rPr>
                <w:sz w:val="20"/>
                <w:szCs w:val="20"/>
                <w:lang w:val="en-US"/>
              </w:rPr>
              <w:t>805</w:t>
            </w:r>
          </w:p>
        </w:tc>
      </w:tr>
    </w:tbl>
    <w:p w:rsidR="00246D29" w:rsidRDefault="00246D29" w:rsidP="00246D29">
      <w:pPr>
        <w:spacing w:line="480" w:lineRule="auto"/>
        <w:jc w:val="both"/>
        <w:rPr>
          <w:lang w:val="en-US"/>
        </w:rPr>
      </w:pPr>
    </w:p>
    <w:p w:rsidR="00A0342E" w:rsidRDefault="00183724"/>
    <w:sectPr w:rsidR="00A0342E" w:rsidSect="0010704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29"/>
    <w:rsid w:val="000F03DD"/>
    <w:rsid w:val="00107041"/>
    <w:rsid w:val="00183724"/>
    <w:rsid w:val="00246D29"/>
    <w:rsid w:val="004527C8"/>
    <w:rsid w:val="006E7849"/>
    <w:rsid w:val="0093324D"/>
    <w:rsid w:val="00940C3B"/>
    <w:rsid w:val="00BB54EA"/>
    <w:rsid w:val="00C917D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5A31E9E"/>
  <w14:defaultImageDpi w14:val="32767"/>
  <w15:chartTrackingRefBased/>
  <w15:docId w15:val="{01BC7F40-C997-A743-A650-DE3472A9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6D29"/>
    <w:pPr>
      <w:spacing w:line="276" w:lineRule="auto"/>
    </w:pPr>
    <w:rPr>
      <w:rFonts w:ascii="Arial" w:eastAsia="Arial" w:hAnsi="Arial" w:cs="Arial"/>
      <w:sz w:val="22"/>
      <w:szCs w:val="22"/>
      <w:lang w:val="en-GB"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892</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Aguirre Plans</dc:creator>
  <cp:keywords/>
  <dc:description/>
  <cp:lastModifiedBy>Joaquim Aguirre Plans</cp:lastModifiedBy>
  <cp:revision>2</cp:revision>
  <dcterms:created xsi:type="dcterms:W3CDTF">2020-11-20T15:52:00Z</dcterms:created>
  <dcterms:modified xsi:type="dcterms:W3CDTF">2020-11-20T15:53:00Z</dcterms:modified>
</cp:coreProperties>
</file>