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7A2800"/>
          <w:sz w:val="18"/>
          <w:szCs w:val="18"/>
        </w:rPr>
        <w:t xml:space="preserve">CAPÍTULO NUEVO — EVOLUCIÓN DE g_crit Y MATERIA OSCURA APARENTE</w:t>
      </w:r>
    </w:p>
    <w:p>
      <w:pPr>
        <w:spacing w:before="0" w:after="80"/>
      </w:pPr>
      <w:r>
        <w:rPr>
          <w:rFonts w:ascii="Georgia" w:cs="Georgia" w:eastAsia="Georgia" w:hAnsi="Georgia"/>
          <w:i/>
          <w:iCs/>
          <w:color w:val="6A6258"/>
          <w:sz w:val="18"/>
          <w:szCs w:val="18"/>
        </w:rPr>
        <w:t xml:space="preserve">Emergencia Gravitacional por Coherencia Dinámica — Addendum Marzo 2026</w:t>
      </w:r>
    </w:p>
    <w:p>
      <w:pPr>
        <w:pBdr>
          <w:bottom w:val="single" w:color="C8B48A" w:sz="4"/>
        </w:pBdr>
        <w:spacing w:before="120" w:after="120"/>
      </w:pPr>
    </w:p>
    <w:p>
      <w:pPr>
        <w:spacing w:before="8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aps/>
          <w:color w:val="7A2800"/>
          <w:sz w:val="18"/>
          <w:szCs w:val="18"/>
        </w:rPr>
        <w:t xml:space="preserve">1. g_crit no va a cero — converge a una asíntota</w:t>
      </w:r>
    </w:p>
    <w:p>
      <w:pPr>
        <w:spacing w:before="60" w:after="180"/>
      </w:pPr>
      <w:r>
        <w:rPr>
          <w:rFonts w:ascii="Georgia" w:cs="Georgia" w:eastAsia="Georgia" w:hAnsi="Georgia"/>
          <w:b/>
          <w:bCs/>
          <w:color w:val="2A2420"/>
          <w:sz w:val="30"/>
          <w:szCs w:val="30"/>
        </w:rPr>
        <w:t xml:space="preserve">El estado final del umbral de aceleración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La constante de Hubble H(z) no decrece indefinidamente. En un universo dominado por energía oscura, H converge a un valor asintótico:</w:t>
      </w:r>
    </w:p>
    <w:p>
      <w:pPr>
        <w:pBdr>
          <w:left w:val="single" w:color="7A2800" w:sz="12"/>
        </w:pBdr>
        <w:shd w:fill="F0EBE0" w:val="clear"/>
        <w:spacing w:before="140" w:after="14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7A2800"/>
          <w:sz w:val="21"/>
          <w:szCs w:val="21"/>
        </w:rPr>
        <w:t xml:space="preserve">H(z→∞)  =  H₀ · √Ω_Λ  =  67.4 · √0.685  ≈  55.8 km/s/Mpc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Por lo tanto g_crit también converge:</w:t>
      </w:r>
    </w:p>
    <w:p>
      <w:pPr>
        <w:pBdr>
          <w:left w:val="single" w:color="7A2800" w:sz="12"/>
        </w:pBdr>
        <w:shd w:fill="F0EBE0" w:val="clear"/>
        <w:spacing w:before="140" w:after="14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7A2800"/>
          <w:sz w:val="21"/>
          <w:szCs w:val="21"/>
        </w:rPr>
        <w:t xml:space="preserve">g_crit(∞)  =  c·H_∞ / (4π²√3)  =  7.93 × 10⁻¹² m/s²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2800"/>
                <w:sz w:val="17"/>
                <w:szCs w:val="17"/>
              </w:rPr>
              <w:t xml:space="preserve">g_crit hoy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22"/>
                <w:szCs w:val="22"/>
              </w:rPr>
              <w:t xml:space="preserve">9.58 × 10⁻¹² m/s²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z = 0</w:t>
            </w:r>
          </w:p>
        </w:tc>
        <w:tc>
          <w:tcPr>
            <w:tcW w:type="dxa" w:w="312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2800"/>
                <w:sz w:val="17"/>
                <w:szCs w:val="17"/>
              </w:rPr>
              <w:t xml:space="preserve">g_crit asíntota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22"/>
                <w:szCs w:val="22"/>
              </w:rPr>
              <w:t xml:space="preserve">7.93 × 10⁻¹² m/s²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z → ∞</w:t>
            </w:r>
          </w:p>
        </w:tc>
        <w:tc>
          <w:tcPr>
            <w:tcW w:type="dxa" w:w="312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2800"/>
                <w:sz w:val="17"/>
                <w:szCs w:val="17"/>
              </w:rPr>
              <w:t xml:space="preserve">Descenso restante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22"/>
                <w:szCs w:val="22"/>
              </w:rPr>
              <w:t xml:space="preserve">17.2%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del total histórico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48A" w:sz="1"/>
              <w:left w:val="single" w:color="7A5800" w:sz="16"/>
              <w:bottom w:val="single" w:color="C8B48A" w:sz="1"/>
              <w:right w:val="none" w:color="FFFFFF" w:sz="0"/>
            </w:tcBorders>
            <w:shd w:fill="F5F0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7A5800"/>
                <w:sz w:val="18"/>
                <w:szCs w:val="18"/>
              </w:rPr>
              <w:t xml:space="preserve">Hecho calculable</w:t>
            </w:r>
          </w:p>
          <w:p>
            <w:pPr>
              <w:jc w:val="both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El 83% del descenso total de g_crit ya ocurrió. El umbral está en las últimas etapas de su evolución cosmológica. Las galaxias con g_min por encima de 9.58 × 10⁻¹² m/s² son hamiltonianas permanentes. Las que están entre 7.93 × 10⁻¹² y 9.58 × 10⁻¹² cruzarán en el futuro cosmológico.</w:t>
            </w:r>
          </w:p>
        </w:tc>
      </w:tr>
    </w:tbl>
    <w:p>
      <w:pPr>
        <w:spacing w:before="100" w:after="0"/>
      </w:pPr>
    </w:p>
    <w:p>
      <w:pPr>
        <w:pBdr>
          <w:bottom w:val="single" w:color="E0D8C8" w:sz="1"/>
        </w:pBdr>
        <w:spacing w:before="80"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aps/>
          <w:color w:val="7A2800"/>
          <w:sz w:val="18"/>
          <w:szCs w:val="18"/>
        </w:rPr>
        <w:t xml:space="preserve">2. Galaxias que cruzarán en el futuro cosmológico</w:t>
      </w:r>
    </w:p>
    <w:p>
      <w:pPr>
        <w:spacing w:before="60" w:after="180"/>
      </w:pPr>
      <w:r>
        <w:rPr>
          <w:rFonts w:ascii="Georgia" w:cs="Georgia" w:eastAsia="Georgia" w:hAnsi="Georgia"/>
          <w:b/>
          <w:bCs/>
          <w:color w:val="2A2420"/>
          <w:sz w:val="30"/>
          <w:szCs w:val="30"/>
        </w:rPr>
        <w:t xml:space="preserve">La ventana de transición futura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Con el descenso restante de g_crit (17.2%), solo las galaxias cuyo g_min cae dentro de la ventana 7.93 – 9.58 × 10⁻¹² m/s² cruzarán el umbral en el futuro. Las demás ya tienen su régimen fijo de forma permanente.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Galaxia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g_min (m/s²)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Estado futuro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IC 1613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3.20 × 10⁻¹²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6A30"/>
                <w:sz w:val="19"/>
                <w:szCs w:val="19"/>
              </w:rPr>
              <w:t xml:space="preserve">Colectiva permanente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UGC04305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2.31 × 10⁻¹²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6A30"/>
                <w:sz w:val="19"/>
                <w:szCs w:val="19"/>
              </w:rPr>
              <w:t xml:space="preserve">Colectiva permanente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UGC09992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8.20 × 10⁻¹²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A5800"/>
                <w:sz w:val="19"/>
                <w:szCs w:val="19"/>
              </w:rPr>
              <w:t xml:space="preserve">Cruzará en futuro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UGC07125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9.10 × 10⁻¹²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A5800"/>
                <w:sz w:val="19"/>
                <w:szCs w:val="19"/>
              </w:rPr>
              <w:t xml:space="preserve">Cruzará en futuro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UGC01281 (centauro)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8.30 × 10⁻¹²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A5800"/>
                <w:sz w:val="19"/>
                <w:szCs w:val="19"/>
              </w:rPr>
              <w:t xml:space="preserve">Cruzará en futuro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UGCA444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1.80 × 10⁻¹¹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6A6258"/>
                <w:sz w:val="19"/>
                <w:szCs w:val="19"/>
              </w:rPr>
              <w:t xml:space="preserve">Hamiltoniana permanente</w:t>
            </w:r>
          </w:p>
        </w:tc>
      </w:tr>
      <w:tr>
        <w:tc>
          <w:tcPr>
            <w:tcW w:type="dxa" w:w="3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Vía Láctea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6.27 × 10⁻¹¹</w:t>
            </w:r>
          </w:p>
        </w:tc>
        <w:tc>
          <w:tcPr>
            <w:tcW w:type="dxa" w:w="3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6A6258"/>
                <w:sz w:val="19"/>
                <w:szCs w:val="19"/>
              </w:rPr>
              <w:t xml:space="preserve">Hamiltoniana permanente</w:t>
            </w:r>
          </w:p>
        </w:tc>
      </w:tr>
    </w:tbl>
    <w:p>
      <w:pPr>
        <w:spacing w:before="100" w:after="0"/>
      </w:pPr>
    </w:p>
    <w:p>
      <w:pPr>
        <w:pBdr>
          <w:bottom w:val="single" w:color="E0D8C8" w:sz="1"/>
        </w:pBdr>
        <w:spacing w:before="80"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aps/>
          <w:color w:val="7A2800"/>
          <w:sz w:val="18"/>
          <w:szCs w:val="18"/>
        </w:rPr>
        <w:t xml:space="preserve">3. Materia oscura aparente — predicción cuantitativa vs redshift</w:t>
      </w:r>
    </w:p>
    <w:p>
      <w:pPr>
        <w:spacing w:before="60" w:after="180"/>
      </w:pPr>
      <w:r>
        <w:rPr>
          <w:rFonts w:ascii="Georgia" w:cs="Georgia" w:eastAsia="Georgia" w:hAnsi="Georgia"/>
          <w:b/>
          <w:bCs/>
          <w:color w:val="2A2420"/>
          <w:sz w:val="30"/>
          <w:szCs w:val="30"/>
        </w:rPr>
        <w:t xml:space="preserve">Por qué el universo temprano parece tener más materia oscura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En el régimen colectivo a redshift z, la velocidad de rotación plana de una galaxia enana es:</w:t>
      </w:r>
    </w:p>
    <w:p>
      <w:pPr>
        <w:pBdr>
          <w:left w:val="single" w:color="7A2800" w:sz="12"/>
        </w:pBdr>
        <w:shd w:fill="F0EBE0" w:val="clear"/>
        <w:spacing w:before="140" w:after="14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7A2800"/>
          <w:sz w:val="21"/>
          <w:szCs w:val="21"/>
        </w:rPr>
        <w:t xml:space="preserve">V_flat(z)  =  [ G · M_bar · g_crit(z) ]^(1/4)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Como g_crit(z) crece con z, V_flat también crece con z para la misma masa bariónica. Un observador que intente explicar esa velocidad con dinámica newtoniana necesita una masa total mayor que M_bar:</w:t>
      </w:r>
    </w:p>
    <w:p>
      <w:pPr>
        <w:pBdr>
          <w:left w:val="single" w:color="7A2800" w:sz="12"/>
        </w:pBdr>
        <w:shd w:fill="F0EBE0" w:val="clear"/>
        <w:spacing w:before="140" w:after="14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7A2800"/>
          <w:sz w:val="21"/>
          <w:szCs w:val="21"/>
        </w:rPr>
        <w:t xml:space="preserve">M_total  =  V_flat² · R / G  &gt;  M_bar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La diferencia M_total − M_bar es lo que ese observador interpretaría como materia oscura. No es materia real — es la señal del régimen colectivo con g_crit(z) más alto.</w:t>
      </w:r>
    </w:p>
    <w:p>
      <w:pPr>
        <w:spacing w:before="80" w:after="0"/>
      </w:pP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7A2800"/>
          <w:sz w:val="22"/>
          <w:szCs w:val="22"/>
        </w:rPr>
        <w:t xml:space="preserve">Tabla de predicciones — galaxia de referencia: M_bar = 10⁹ M☉, R = 5 kpc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800"/>
        <w:gridCol w:w="2160"/>
      </w:tblGrid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7"/>
                <w:szCs w:val="17"/>
              </w:rPr>
              <w:t xml:space="preserve">z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7"/>
                <w:szCs w:val="17"/>
              </w:rPr>
              <w:t xml:space="preserve">g_crit (m/s²)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7"/>
                <w:szCs w:val="17"/>
              </w:rPr>
              <w:t xml:space="preserve">V_flat (km/s)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7"/>
                <w:szCs w:val="17"/>
              </w:rPr>
              <w:t xml:space="preserve">f_DM aparente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7"/>
                <w:szCs w:val="17"/>
              </w:rPr>
              <w:t xml:space="preserve">M_tot / M_bar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9.58 × 10⁻¹²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33.6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24%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1.31x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0.3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1.12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34.9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1.43x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0.5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1.27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36.0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34%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1.52x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1.71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38.8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43%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1.75x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2.27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41.7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2.00x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A2420"/>
                <w:sz w:val="18"/>
                <w:szCs w:val="18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18"/>
                <w:szCs w:val="18"/>
              </w:rPr>
              <w:t xml:space="preserve">2.90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18"/>
                <w:szCs w:val="18"/>
              </w:rPr>
              <w:t xml:space="preserve">44.3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2800"/>
                <w:sz w:val="20"/>
                <w:szCs w:val="20"/>
              </w:rPr>
              <w:t xml:space="preserve">56%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20"/>
                <w:sz w:val="18"/>
                <w:szCs w:val="18"/>
              </w:rPr>
              <w:t xml:space="preserve">2.27x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3.0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4.37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49.1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64%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2.76x</w:t>
            </w:r>
          </w:p>
        </w:tc>
      </w:tr>
      <w:tr>
        <w:tc>
          <w:tcPr>
            <w:tcW w:type="dxa" w:w="1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A2420"/>
                <w:sz w:val="18"/>
                <w:szCs w:val="18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7.94 × 10⁻¹¹</w:t>
            </w:r>
          </w:p>
        </w:tc>
        <w:tc>
          <w:tcPr>
            <w:tcW w:type="dxa" w:w="20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57.0</w:t>
            </w:r>
          </w:p>
        </w:tc>
        <w:tc>
          <w:tcPr>
            <w:tcW w:type="dxa" w:w="18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258"/>
                <w:sz w:val="20"/>
                <w:szCs w:val="20"/>
              </w:rPr>
              <w:t xml:space="preserve">73%</w:t>
            </w:r>
          </w:p>
        </w:tc>
        <w:tc>
          <w:tcPr>
            <w:tcW w:type="dxa" w:w="21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420"/>
                <w:sz w:val="18"/>
                <w:szCs w:val="18"/>
              </w:rPr>
              <w:t xml:space="preserve">3.71x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48A" w:sz="1"/>
              <w:left w:val="single" w:color="2A6A30" w:sz="16"/>
              <w:bottom w:val="single" w:color="C8B48A" w:sz="1"/>
              <w:right w:val="none" w:color="FFFFFF" w:sz="0"/>
            </w:tcBorders>
            <w:shd w:fill="EEF8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2A6A30"/>
                <w:sz w:val="18"/>
                <w:szCs w:val="18"/>
              </w:rPr>
              <w:t xml:space="preserve">Predicción falsificable — JWST</w:t>
            </w:r>
          </w:p>
          <w:p>
            <w:pPr>
              <w:jc w:val="both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Galaxias enanas a z=2 con la misma masa bariónica que análogas locales deben mostrar velocidades de rotación ~1.32x mayores y requerir ~2.3x más masa oscura aparente para ser explicadas con dinámica newtoniana. Si JWST mide que la cantidad de materia oscura inferida en enanas NO crece con z → el modelo queda falsificado. Si crece con la escala predicha → confirmación.</w:t>
            </w:r>
          </w:p>
        </w:tc>
      </w:tr>
    </w:tbl>
    <w:p>
      <w:pPr>
        <w:spacing w:before="80" w:after="0"/>
      </w:pP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7A2800"/>
          <w:sz w:val="22"/>
          <w:szCs w:val="22"/>
        </w:rPr>
        <w:t xml:space="preserve">Conexión con observaciones JWST existentes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JWST ha reportado galaxias masivas a z &gt; 2 con aparentemente menos materia oscura de lo esperado en ΛCDM. Esto es consistente con el modelo: las galaxias masivas a z=2 ya eran hamiltonianas — su g_local estaba por encima de g_crit(z=2) — y por tanto no muestran el exceso colectivo.</w:t>
      </w:r>
    </w:p>
    <w:p>
      <w:pPr>
        <w:spacing w:before="60" w:after="12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El test decisivo no es en galaxias masivas sino en galaxias enanas a z=2. Esas sí estaban en régimen colectivo con g_crit 3x mayor que hoy. La predicción es específica y distinguible de ΛCDM estándar.</w:t>
      </w:r>
    </w:p>
    <w:p>
      <w:pPr>
        <w:spacing w:before="100" w:after="0"/>
      </w:pPr>
    </w:p>
    <w:p>
      <w:pPr>
        <w:pBdr>
          <w:bottom w:val="single" w:color="E0D8C8" w:sz="1"/>
        </w:pBdr>
        <w:spacing w:before="80" w:after="8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aps/>
          <w:color w:val="7A2800"/>
          <w:sz w:val="18"/>
          <w:szCs w:val="18"/>
        </w:rPr>
        <w:t xml:space="preserve">4. Resumen — hechos y predicciones nuevas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2400"/>
      </w:tblGrid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B48A"/>
                <w:sz w:val="18"/>
                <w:szCs w:val="18"/>
              </w:rPr>
              <w:t xml:space="preserve">Dataset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g_crit converge a 7.93×10⁻¹² m/s² — no va a cero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6A6258"/>
                <w:sz w:val="17"/>
                <w:szCs w:val="17"/>
              </w:rPr>
              <w:t xml:space="preserve">Hecho calculable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Cosmología estándar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83% del descenso de g_crit ya ocurrió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6A6258"/>
                <w:sz w:val="17"/>
                <w:szCs w:val="17"/>
              </w:rPr>
              <w:t xml:space="preserve">Hecho calculable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Cosmología estándar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UGC07125, UGC09992, UGC01281 cruzarán el umbral en el futuro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7A5800"/>
                <w:sz w:val="17"/>
                <w:szCs w:val="17"/>
              </w:rPr>
              <w:t xml:space="preserve">Predicción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Modelos evolución galáctica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f_DM aparente en enanas crece de 24% (z=0) a 56% (z=2)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7A5800"/>
                <w:sz w:val="17"/>
                <w:szCs w:val="17"/>
              </w:rPr>
              <w:t xml:space="preserve">Predicción cuantitativa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JWST — enanas a z=2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V_flat de enanas a z=2 es 1.32x mayor que análogas locales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7A5800"/>
                <w:sz w:val="17"/>
                <w:szCs w:val="17"/>
              </w:rPr>
              <w:t xml:space="preserve">Predicción cuantitativa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FFFB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JWST + ELT</w:t>
            </w:r>
          </w:p>
        </w:tc>
      </w:tr>
      <w:tr>
        <w:tc>
          <w:tcPr>
            <w:tcW w:type="dxa" w:w="42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Galaxias masivas a z=2 NO muestran exceso colectivo</w:t>
            </w:r>
          </w:p>
        </w:tc>
        <w:tc>
          <w:tcPr>
            <w:tcW w:type="dxa" w:w="276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A6A30"/>
                <w:sz w:val="17"/>
                <w:szCs w:val="17"/>
              </w:rPr>
              <w:t xml:space="preserve">Predicción confirmada</w:t>
            </w:r>
          </w:p>
        </w:tc>
        <w:tc>
          <w:tcPr>
            <w:tcW w:type="dxa" w:w="2400"/>
            <w:tcBorders>
              <w:top w:val="single" w:color="C8B48A" w:sz="1"/>
              <w:left w:val="single" w:color="C8B48A" w:sz="1"/>
              <w:bottom w:val="single" w:color="C8B48A" w:sz="1"/>
              <w:right w:val="single" w:color="C8B48A" w:sz="1"/>
            </w:tcBorders>
            <w:shd w:fill="EE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6A6258"/>
                <w:sz w:val="17"/>
                <w:szCs w:val="17"/>
              </w:rPr>
              <w:t xml:space="preserve">JWST — consistente</w:t>
            </w:r>
          </w:p>
        </w:tc>
      </w:tr>
    </w:tbl>
    <w:p>
      <w:pPr>
        <w:spacing w:before="12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6A6258"/>
          <w:sz w:val="18"/>
          <w:szCs w:val="18"/>
        </w:rPr>
        <w:t xml:space="preserve">Juan Pablo Figueroa Torres — Guadalajara, México — 15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2026-03-15T07:38:04.832Z</dcterms:created>
  <dcterms:modified xsi:type="dcterms:W3CDTF">2026-03-15T07:38:04.833Z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