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2400" w:after="240"/>
      </w:pPr>
      <w:r>
        <w:rPr>
          <w:b/>
          <w:sz w:val="56"/>
          <w:color w:val="003355"/>
        </w:rPr>
        <w:t>Signal View Screening Services</w:t>
      </w:r>
    </w:p>
    <w:p>
      <w:pPr>
        <w:jc w:val="center"/>
        <w:spacing w:after="240"/>
      </w:pPr>
      <w:r>
        <w:rPr>
          <w:b/>
          <w:sz w:val="32"/>
          <w:color w:val="C9A856"/>
        </w:rPr>
        <w:t>Standard Operating Protocols — AIUM-Aligned</w:t>
      </w:r>
    </w:p>
    <w:p>
      <w:pPr>
        <w:jc w:val="center"/>
        <w:spacing w:after="120"/>
      </w:pPr>
      <w:r>
        <w:rPr>
          <w:sz w:val="22"/>
          <w:color w:val="5C5C5C"/>
        </w:rPr>
        <w:t>Diagnostic &amp; Screening Ultrasound</w:t>
      </w:r>
    </w:p>
    <w:p>
      <w:pPr>
        <w:jc w:val="center"/>
        <w:spacing w:after="120"/>
      </w:pPr>
      <w:r>
        <w:rPr>
          <w:sz w:val="22"/>
          <w:color w:val="5C5C5C"/>
        </w:rPr>
        <w:t>Document Effective: June 2026</w:t>
      </w:r>
    </w:p>
    <w:p>
      <w:pPr>
        <w:jc w:val="center"/>
        <w:spacing w:after="120"/>
      </w:pPr>
      <w:r>
        <w:rPr>
          <w:sz w:val="22"/>
          <w:color w:val="5C5C5C"/>
        </w:rPr>
        <w:t>Version 1.0</w:t>
      </w:r>
    </w:p>
    <w:p>
      <w:r>
        <w:br w:type="page"/>
      </w:r>
    </w:p>
    <w:p>
      <w:pPr>
        <w:pStyle w:val="Heading1"/>
        <w:pBdr>
          <w:bottom w:val="single" w:sz="6" w:color="C9A856"/>
        </w:pBdr>
        <w:spacing w:before="480" w:after="240"/>
      </w:pPr>
      <w:r>
        <w:rPr>
          <w:b/>
          <w:sz w:val="36"/>
          <w:color w:val="003355"/>
        </w:rPr>
        <w:t>Document Control</w:t>
      </w:r>
    </w:p>
    <w:p>
      <w:pPr>
        <w:spacing w:after="120" w:line="276" w:lineRule="auto"/>
      </w:pPr>
      <w:r>
        <w:rPr>
          <w:sz w:val="22"/>
        </w:rPr>
        <w:t>This document establishes standardized operational protocols for ultrasound studies performed at Signal View Screening Services (SVS). Protocols are aligned with the American Institute of Ultrasound in Medicine (AIUM) Practice Parameters, the American College of Radiology (ACR), and the Intersocietal Accreditation Commission (IAC) where applicable.</w:t>
      </w:r>
    </w:p>
    <w:p>
      <w:pPr>
        <w:spacing w:after="120" w:line="276" w:lineRule="auto"/>
      </w:pPr>
      <w:r>
        <w:rPr>
          <w:sz w:val="22"/>
        </w:rPr>
        <w:t>All sonographers and interpreting physicians must read, understand, and follow these protocols. This document is reviewed annually and updated as guidelines evolve.</w:t>
      </w:r>
    </w:p>
    <w:p>
      <w:pPr>
        <w:pStyle w:val="Heading3"/>
        <w:spacing w:before="240" w:after="80"/>
      </w:pPr>
      <w:r>
        <w:rPr>
          <w:b/>
          <w:sz w:val="24"/>
          <w:color w:val="2A2A2A"/>
        </w:rPr>
        <w:t>Approval</w:t>
      </w:r>
    </w:p>
    <w:p>
      <w:pPr>
        <w:numPr>
          <w:ilvl w:val="0"/>
          <w:numId w:val="1"/>
        </w:numPr>
        <w:spacing w:after="60"/>
      </w:pPr>
      <w:r>
        <w:rPr>
          <w:sz w:val="22"/>
        </w:rPr>
        <w:t>Medical Director (interpreting physician)</w:t>
      </w:r>
    </w:p>
    <w:p>
      <w:pPr>
        <w:numPr>
          <w:ilvl w:val="0"/>
          <w:numId w:val="1"/>
        </w:numPr>
        <w:spacing w:after="60"/>
      </w:pPr>
      <w:r>
        <w:rPr>
          <w:sz w:val="22"/>
        </w:rPr>
        <w:t>Director of Operations / Owner</w:t>
      </w:r>
    </w:p>
    <w:p>
      <w:pPr>
        <w:numPr>
          <w:ilvl w:val="0"/>
          <w:numId w:val="1"/>
        </w:numPr>
        <w:spacing w:after="60"/>
      </w:pPr>
      <w:r>
        <w:rPr>
          <w:sz w:val="22"/>
        </w:rPr>
        <w:t>Lead Sonographer</w:t>
      </w:r>
    </w:p>
    <w:p>
      <w:pPr>
        <w:pStyle w:val="Heading3"/>
        <w:spacing w:before="240" w:after="80"/>
      </w:pPr>
      <w:r>
        <w:rPr>
          <w:b/>
          <w:sz w:val="24"/>
          <w:color w:val="2A2A2A"/>
        </w:rPr>
        <w:t>Distribution</w:t>
      </w:r>
    </w:p>
    <w:p>
      <w:pPr>
        <w:spacing w:after="120" w:line="276" w:lineRule="auto"/>
      </w:pPr>
      <w:r>
        <w:rPr>
          <w:sz w:val="22"/>
        </w:rPr>
        <w:t>All clinical staff. Maintained on secure shared drive. Hard copy available at scanning workstation.</w:t>
      </w:r>
    </w:p>
    <w:p>
      <w:r>
        <w:br w:type="page"/>
      </w:r>
    </w:p>
    <w:p>
      <w:pPr>
        <w:pStyle w:val="Heading1"/>
        <w:pBdr>
          <w:bottom w:val="single" w:sz="6" w:color="C9A856"/>
        </w:pBdr>
        <w:spacing w:before="480" w:after="240"/>
      </w:pPr>
      <w:r>
        <w:rPr>
          <w:b/>
          <w:sz w:val="36"/>
          <w:color w:val="003355"/>
        </w:rPr>
        <w:t>Table of Contents</w:t>
      </w:r>
    </w:p>
    <w:p>
      <w:pPr>
        <w:spacing w:after="120" w:line="276" w:lineRule="auto"/>
      </w:pPr>
      <w:r>
        <w:rPr>
          <w:sz w:val="22"/>
        </w:rPr>
        <w:t>1. Facility &amp; Personnel Standards</w:t>
      </w:r>
    </w:p>
    <w:p>
      <w:pPr>
        <w:spacing w:after="120" w:line="276" w:lineRule="auto"/>
      </w:pPr>
      <w:r>
        <w:rPr>
          <w:sz w:val="22"/>
        </w:rPr>
        <w:t>2. Equipment &amp; Maintenance</w:t>
      </w:r>
    </w:p>
    <w:p>
      <w:pPr>
        <w:spacing w:after="120" w:line="276" w:lineRule="auto"/>
      </w:pPr>
      <w:r>
        <w:rPr>
          <w:sz w:val="22"/>
        </w:rPr>
        <w:t>3. Infection Control &amp; Probe Care</w:t>
      </w:r>
    </w:p>
    <w:p>
      <w:pPr>
        <w:spacing w:after="120" w:line="276" w:lineRule="auto"/>
      </w:pPr>
      <w:r>
        <w:rPr>
          <w:sz w:val="22"/>
        </w:rPr>
        <w:t>4. Quality Assurance Program</w:t>
      </w:r>
    </w:p>
    <w:p>
      <w:pPr>
        <w:spacing w:after="120" w:line="276" w:lineRule="auto"/>
      </w:pPr>
      <w:r>
        <w:rPr>
          <w:sz w:val="22"/>
        </w:rPr>
        <w:t>5. Reporting Standards &amp; Critical Findings</w:t>
      </w:r>
    </w:p>
    <w:p>
      <w:pPr>
        <w:spacing w:after="120" w:line="276" w:lineRule="auto"/>
      </w:pPr>
      <w:r>
        <w:rPr>
          <w:sz w:val="22"/>
        </w:rPr>
        <w:t>6. Vascular Ultrasound Protocols</w:t>
      </w:r>
    </w:p>
    <w:p>
      <w:pPr>
        <w:spacing w:after="120" w:line="276" w:lineRule="auto"/>
      </w:pPr>
      <w:r>
        <w:rPr>
          <w:sz w:val="22"/>
        </w:rPr>
        <w:t>   6.1 Carotid Duplex (93880)</w:t>
      </w:r>
    </w:p>
    <w:p>
      <w:pPr>
        <w:spacing w:after="120" w:line="276" w:lineRule="auto"/>
      </w:pPr>
      <w:r>
        <w:rPr>
          <w:sz w:val="22"/>
        </w:rPr>
        <w:t>   6.2 Abdominal Aorta Screening (76706)</w:t>
      </w:r>
    </w:p>
    <w:p>
      <w:pPr>
        <w:spacing w:after="120" w:line="276" w:lineRule="auto"/>
      </w:pPr>
      <w:r>
        <w:rPr>
          <w:sz w:val="22"/>
        </w:rPr>
        <w:t>   6.3 Lower Extremity Arterial (93925)</w:t>
      </w:r>
    </w:p>
    <w:p>
      <w:pPr>
        <w:spacing w:after="120" w:line="276" w:lineRule="auto"/>
      </w:pPr>
      <w:r>
        <w:rPr>
          <w:sz w:val="22"/>
        </w:rPr>
        <w:t>7. Cardiac Ultrasound Protocols</w:t>
      </w:r>
    </w:p>
    <w:p>
      <w:pPr>
        <w:spacing w:after="120" w:line="276" w:lineRule="auto"/>
      </w:pPr>
      <w:r>
        <w:rPr>
          <w:sz w:val="22"/>
        </w:rPr>
        <w:t>   7.1 Complete Echocardiogram (93306)</w:t>
      </w:r>
    </w:p>
    <w:p>
      <w:pPr>
        <w:spacing w:after="120" w:line="276" w:lineRule="auto"/>
      </w:pPr>
      <w:r>
        <w:rPr>
          <w:sz w:val="22"/>
        </w:rPr>
        <w:t>   7.2 Limited Screening Echo (93308)</w:t>
      </w:r>
    </w:p>
    <w:p>
      <w:pPr>
        <w:spacing w:after="120" w:line="276" w:lineRule="auto"/>
      </w:pPr>
      <w:r>
        <w:rPr>
          <w:sz w:val="22"/>
        </w:rPr>
        <w:t>8. Abdominal Ultrasound Protocols</w:t>
      </w:r>
    </w:p>
    <w:p>
      <w:pPr>
        <w:spacing w:after="120" w:line="276" w:lineRule="auto"/>
      </w:pPr>
      <w:r>
        <w:rPr>
          <w:sz w:val="22"/>
        </w:rPr>
        <w:t>   8.1 Complete Abdominal (76700)</w:t>
      </w:r>
    </w:p>
    <w:p>
      <w:pPr>
        <w:spacing w:after="120" w:line="276" w:lineRule="auto"/>
      </w:pPr>
      <w:r>
        <w:rPr>
          <w:sz w:val="22"/>
        </w:rPr>
        <w:t>   8.2 Limited Abdominal (76705)</w:t>
      </w:r>
    </w:p>
    <w:p>
      <w:pPr>
        <w:spacing w:after="120" w:line="276" w:lineRule="auto"/>
      </w:pPr>
      <w:r>
        <w:rPr>
          <w:sz w:val="22"/>
        </w:rPr>
        <w:t>   8.3 Renal/Kidney (76770/76775)</w:t>
      </w:r>
    </w:p>
    <w:p>
      <w:pPr>
        <w:spacing w:after="120" w:line="276" w:lineRule="auto"/>
      </w:pPr>
      <w:r>
        <w:rPr>
          <w:sz w:val="22"/>
        </w:rPr>
        <w:t>9. Small Parts Protocols</w:t>
      </w:r>
    </w:p>
    <w:p>
      <w:pPr>
        <w:spacing w:after="120" w:line="276" w:lineRule="auto"/>
      </w:pPr>
      <w:r>
        <w:rPr>
          <w:sz w:val="22"/>
        </w:rPr>
        <w:t>   9.1 Thyroid (76536)</w:t>
      </w:r>
    </w:p>
    <w:p>
      <w:pPr>
        <w:spacing w:after="120" w:line="276" w:lineRule="auto"/>
      </w:pPr>
      <w:r>
        <w:rPr>
          <w:sz w:val="22"/>
        </w:rPr>
        <w:t>   9.2 Breast (76641/76642)</w:t>
      </w:r>
    </w:p>
    <w:p>
      <w:pPr>
        <w:spacing w:after="120" w:line="276" w:lineRule="auto"/>
      </w:pPr>
      <w:r>
        <w:rPr>
          <w:sz w:val="22"/>
        </w:rPr>
        <w:t>10. OB/GYN Ultrasound Protocols</w:t>
      </w:r>
    </w:p>
    <w:p>
      <w:pPr>
        <w:spacing w:after="120" w:line="276" w:lineRule="auto"/>
      </w:pPr>
      <w:r>
        <w:rPr>
          <w:sz w:val="22"/>
        </w:rPr>
        <w:t>   10.1 First Trimester / Dating (76801)</w:t>
      </w:r>
    </w:p>
    <w:p>
      <w:pPr>
        <w:spacing w:after="120" w:line="276" w:lineRule="auto"/>
      </w:pPr>
      <w:r>
        <w:rPr>
          <w:sz w:val="22"/>
        </w:rPr>
        <w:t>   10.2 Transvaginal Pregnancy (76817)</w:t>
      </w:r>
    </w:p>
    <w:p>
      <w:pPr>
        <w:spacing w:after="120" w:line="276" w:lineRule="auto"/>
      </w:pPr>
      <w:r>
        <w:rPr>
          <w:sz w:val="22"/>
        </w:rPr>
        <w:t>   10.3 Standard Pregnancy / Anatomy Scan (76805)</w:t>
      </w:r>
    </w:p>
    <w:p>
      <w:pPr>
        <w:spacing w:after="120" w:line="276" w:lineRule="auto"/>
      </w:pPr>
      <w:r>
        <w:rPr>
          <w:sz w:val="22"/>
        </w:rPr>
        <w:t>   10.4 Limited Pregnancy (76815)</w:t>
      </w:r>
    </w:p>
    <w:p>
      <w:pPr>
        <w:spacing w:after="120" w:line="276" w:lineRule="auto"/>
      </w:pPr>
      <w:r>
        <w:rPr>
          <w:sz w:val="22"/>
        </w:rPr>
        <w:t>   10.5 Follow-up Pregnancy (76816)</w:t>
      </w:r>
    </w:p>
    <w:p>
      <w:pPr>
        <w:spacing w:after="120" w:line="276" w:lineRule="auto"/>
      </w:pPr>
      <w:r>
        <w:rPr>
          <w:sz w:val="22"/>
        </w:rPr>
        <w:t>11. Patient Communication &amp; Documentation</w:t>
      </w:r>
    </w:p>
    <w:p>
      <w:pPr>
        <w:spacing w:after="120" w:line="276" w:lineRule="auto"/>
      </w:pPr>
      <w:r>
        <w:rPr>
          <w:sz w:val="22"/>
        </w:rPr>
        <w:t>12. Appendices</w:t>
      </w:r>
    </w:p>
    <w:p>
      <w:r>
        <w:br w:type="page"/>
      </w:r>
    </w:p>
    <w:p>
      <w:pPr>
        <w:pStyle w:val="Heading1"/>
        <w:pBdr>
          <w:bottom w:val="single" w:sz="6" w:color="C9A856"/>
        </w:pBdr>
        <w:spacing w:before="480" w:after="240"/>
      </w:pPr>
      <w:r>
        <w:rPr>
          <w:b/>
          <w:sz w:val="36"/>
          <w:color w:val="003355"/>
        </w:rPr>
        <w:t>1. Facility &amp; Personnel Standards</w:t>
      </w:r>
    </w:p>
    <w:p>
      <w:pPr>
        <w:pStyle w:val="Heading2"/>
        <w:spacing w:before="360" w:after="120"/>
      </w:pPr>
      <w:r>
        <w:rPr>
          <w:b/>
          <w:sz w:val="28"/>
          <w:color w:val="004D78"/>
        </w:rPr>
        <w:t>1.1 Personnel Credentialing</w:t>
      </w:r>
    </w:p>
    <w:p>
      <w:pPr>
        <w:spacing w:after="120" w:line="276" w:lineRule="auto"/>
      </w:pPr>
      <w:r>
        <w:rPr>
          <w:sz w:val="22"/>
        </w:rPr>
        <w:t>All sonographers performing diagnostic ultrasound at SVS must meet the following minimum credentials:</w:t>
      </w:r>
    </w:p>
    <w:p>
      <w:pPr>
        <w:numPr>
          <w:ilvl w:val="0"/>
          <w:numId w:val="1"/>
        </w:numPr>
        <w:spacing w:after="60"/>
      </w:pPr>
      <w:r>
        <w:rPr>
          <w:sz w:val="22"/>
        </w:rPr>
        <w:t>Registered Diagnostic Medical Sonographer (RDMS) credential from the American Registry for Diagnostic Medical Sonography (ARDMS), with specialty certification appropriate to the studies performed.</w:t>
      </w:r>
    </w:p>
    <w:p>
      <w:pPr>
        <w:numPr>
          <w:ilvl w:val="0"/>
          <w:numId w:val="1"/>
        </w:numPr>
        <w:spacing w:after="60"/>
      </w:pPr>
      <w:r>
        <w:rPr>
          <w:sz w:val="22"/>
        </w:rPr>
        <w:t>For vascular studies: Registered Vascular Technologist (RVT) credential preferred.</w:t>
      </w:r>
    </w:p>
    <w:p>
      <w:pPr>
        <w:numPr>
          <w:ilvl w:val="0"/>
          <w:numId w:val="1"/>
        </w:numPr>
        <w:spacing w:after="60"/>
      </w:pPr>
      <w:r>
        <w:rPr>
          <w:sz w:val="22"/>
        </w:rPr>
        <w:t>For cardiac studies: Registered Diagnostic Cardiac Sonographer (RDCS) credential.</w:t>
      </w:r>
    </w:p>
    <w:p>
      <w:pPr>
        <w:numPr>
          <w:ilvl w:val="0"/>
          <w:numId w:val="1"/>
        </w:numPr>
        <w:spacing w:after="60"/>
      </w:pPr>
      <w:r>
        <w:rPr>
          <w:sz w:val="22"/>
        </w:rPr>
        <w:t>For OB/GYN studies: RDMS-OB specialty.</w:t>
      </w:r>
    </w:p>
    <w:p>
      <w:pPr>
        <w:numPr>
          <w:ilvl w:val="0"/>
          <w:numId w:val="1"/>
        </w:numPr>
        <w:spacing w:after="60"/>
      </w:pPr>
      <w:r>
        <w:rPr>
          <w:sz w:val="22"/>
        </w:rPr>
        <w:t>Current BLS certification.</w:t>
      </w:r>
    </w:p>
    <w:p>
      <w:pPr>
        <w:numPr>
          <w:ilvl w:val="0"/>
          <w:numId w:val="1"/>
        </w:numPr>
        <w:spacing w:after="60"/>
      </w:pPr>
      <w:r>
        <w:rPr>
          <w:sz w:val="22"/>
        </w:rPr>
        <w:t>Annual continuing medical education (CME) per ARDMS requirements.</w:t>
      </w:r>
    </w:p>
    <w:p>
      <w:pPr>
        <w:numPr>
          <w:ilvl w:val="0"/>
          <w:numId w:val="1"/>
        </w:numPr>
        <w:spacing w:after="60"/>
      </w:pPr>
      <w:r>
        <w:rPr>
          <w:sz w:val="22"/>
        </w:rPr>
        <w:t>Annual HIPAA compliance training.</w:t>
      </w:r>
    </w:p>
    <w:p>
      <w:pPr>
        <w:pStyle w:val="Heading2"/>
        <w:spacing w:before="360" w:after="120"/>
      </w:pPr>
      <w:r>
        <w:rPr>
          <w:b/>
          <w:sz w:val="28"/>
          <w:color w:val="004D78"/>
        </w:rPr>
        <w:t>1.2 Interpreting Physician</w:t>
      </w:r>
    </w:p>
    <w:p>
      <w:pPr>
        <w:spacing w:after="120" w:line="276" w:lineRule="auto"/>
      </w:pPr>
      <w:r>
        <w:rPr>
          <w:sz w:val="22"/>
        </w:rPr>
        <w:t>All studies are interpreted by a board-certified physician (radiologist, cardiologist, or specialty-appropriate physician). The interpreting physician maintains independent professional liability coverage.</w:t>
      </w:r>
    </w:p>
    <w:p>
      <w:pPr>
        <w:pStyle w:val="Heading2"/>
        <w:spacing w:before="360" w:after="120"/>
      </w:pPr>
      <w:r>
        <w:rPr>
          <w:b/>
          <w:sz w:val="28"/>
          <w:color w:val="004D78"/>
        </w:rPr>
        <w:t>1.3 Scope of Practice</w:t>
      </w:r>
    </w:p>
    <w:p>
      <w:pPr>
        <w:spacing w:after="120" w:line="276" w:lineRule="auto"/>
      </w:pPr>
      <w:r>
        <w:rPr>
          <w:sz w:val="22"/>
        </w:rPr>
        <w:t>Sonographers perform image acquisition per protocol. Sonographers DO NOT provide diagnostic interpretation to patients, family members, or referring providers. All findings are communicated through the formal physician-interpreted report.</w:t>
      </w:r>
    </w:p>
    <w:p>
      <w:pPr>
        <w:pStyle w:val="Heading2"/>
        <w:spacing w:before="360" w:after="120"/>
      </w:pPr>
      <w:r>
        <w:rPr>
          <w:b/>
          <w:sz w:val="28"/>
          <w:color w:val="004D78"/>
        </w:rPr>
        <w:t>1.4 Patient Identification</w:t>
      </w:r>
    </w:p>
    <w:p>
      <w:pPr>
        <w:spacing w:after="120" w:line="276" w:lineRule="auto"/>
      </w:pPr>
      <w:r>
        <w:rPr>
          <w:sz w:val="22"/>
        </w:rPr>
        <w:t>Two-identifier verification (full legal name AND date of birth) is required before every study. Identification is documented in the worksheet.</w:t>
      </w:r>
    </w:p>
    <w:p>
      <w:r>
        <w:br w:type="page"/>
      </w:r>
    </w:p>
    <w:p>
      <w:pPr>
        <w:pStyle w:val="Heading1"/>
        <w:pBdr>
          <w:bottom w:val="single" w:sz="6" w:color="C9A856"/>
        </w:pBdr>
        <w:spacing w:before="480" w:after="240"/>
      </w:pPr>
      <w:r>
        <w:rPr>
          <w:b/>
          <w:sz w:val="36"/>
          <w:color w:val="003355"/>
        </w:rPr>
        <w:t>2. Equipment &amp; Maintenance</w:t>
      </w:r>
    </w:p>
    <w:p>
      <w:pPr>
        <w:pStyle w:val="Heading2"/>
        <w:spacing w:before="360" w:after="120"/>
      </w:pPr>
      <w:r>
        <w:rPr>
          <w:b/>
          <w:sz w:val="28"/>
          <w:color w:val="004D78"/>
        </w:rPr>
        <w:t>2.1 Ultrasound Systems</w:t>
      </w:r>
    </w:p>
    <w:p>
      <w:pPr>
        <w:spacing w:after="120" w:line="276" w:lineRule="auto"/>
      </w:pPr>
      <w:r>
        <w:rPr>
          <w:sz w:val="22"/>
        </w:rPr>
        <w:t>Equipment must meet AIUM standards for diagnostic ultrasound. Each system maintains documentation of:</w:t>
      </w:r>
    </w:p>
    <w:p>
      <w:pPr>
        <w:numPr>
          <w:ilvl w:val="0"/>
          <w:numId w:val="1"/>
        </w:numPr>
        <w:spacing w:after="60"/>
      </w:pPr>
      <w:r>
        <w:rPr>
          <w:sz w:val="22"/>
        </w:rPr>
        <w:t>Manufacturer service records</w:t>
      </w:r>
    </w:p>
    <w:p>
      <w:pPr>
        <w:numPr>
          <w:ilvl w:val="0"/>
          <w:numId w:val="1"/>
        </w:numPr>
        <w:spacing w:after="60"/>
      </w:pPr>
      <w:r>
        <w:rPr>
          <w:sz w:val="22"/>
        </w:rPr>
        <w:t>Annual preventive maintenance</w:t>
      </w:r>
    </w:p>
    <w:p>
      <w:pPr>
        <w:numPr>
          <w:ilvl w:val="0"/>
          <w:numId w:val="1"/>
        </w:numPr>
        <w:spacing w:after="60"/>
      </w:pPr>
      <w:r>
        <w:rPr>
          <w:sz w:val="22"/>
        </w:rPr>
        <w:t>Calibration verification</w:t>
      </w:r>
    </w:p>
    <w:p>
      <w:pPr>
        <w:numPr>
          <w:ilvl w:val="0"/>
          <w:numId w:val="1"/>
        </w:numPr>
        <w:spacing w:after="60"/>
      </w:pPr>
      <w:r>
        <w:rPr>
          <w:sz w:val="22"/>
        </w:rPr>
        <w:t>Probe inventory and condition</w:t>
      </w:r>
    </w:p>
    <w:p>
      <w:pPr>
        <w:pStyle w:val="Heading2"/>
        <w:spacing w:before="360" w:after="120"/>
      </w:pPr>
      <w:r>
        <w:rPr>
          <w:b/>
          <w:sz w:val="28"/>
          <w:color w:val="004D78"/>
        </w:rPr>
        <w:t>2.2 Required Transducers</w:t>
      </w:r>
    </w:p>
    <w:p>
      <w:pPr>
        <w:numPr>
          <w:ilvl w:val="0"/>
          <w:numId w:val="1"/>
        </w:numPr>
        <w:spacing w:after="60"/>
      </w:pPr>
      <w:r>
        <w:rPr>
          <w:sz w:val="22"/>
        </w:rPr>
        <w:t>Curvilinear array (2–5 MHz) — abdominal, OB, renal</w:t>
      </w:r>
    </w:p>
    <w:p>
      <w:pPr>
        <w:numPr>
          <w:ilvl w:val="0"/>
          <w:numId w:val="1"/>
        </w:numPr>
        <w:spacing w:after="60"/>
      </w:pPr>
      <w:r>
        <w:rPr>
          <w:sz w:val="22"/>
        </w:rPr>
        <w:t>Linear array high-frequency (7–15 MHz) — vascular, thyroid, breast, superficial structures</w:t>
      </w:r>
    </w:p>
    <w:p>
      <w:pPr>
        <w:numPr>
          <w:ilvl w:val="0"/>
          <w:numId w:val="1"/>
        </w:numPr>
        <w:spacing w:after="60"/>
      </w:pPr>
      <w:r>
        <w:rPr>
          <w:sz w:val="22"/>
        </w:rPr>
        <w:t>Phased array / sector (1.5–4 MHz) — cardiac, intercostal abdominal access</w:t>
      </w:r>
    </w:p>
    <w:p>
      <w:pPr>
        <w:numPr>
          <w:ilvl w:val="0"/>
          <w:numId w:val="1"/>
        </w:numPr>
        <w:spacing w:after="60"/>
      </w:pPr>
      <w:r>
        <w:rPr>
          <w:sz w:val="22"/>
        </w:rPr>
        <w:t>Endocavitary / transvaginal (5–9 MHz) — first-trimester OB, gynecologic imaging</w:t>
      </w:r>
    </w:p>
    <w:p>
      <w:pPr>
        <w:pStyle w:val="Heading2"/>
        <w:spacing w:before="360" w:after="120"/>
      </w:pPr>
      <w:r>
        <w:rPr>
          <w:b/>
          <w:sz w:val="28"/>
          <w:color w:val="004D78"/>
        </w:rPr>
        <w:t>2.3 Daily Equipment Check</w:t>
      </w:r>
    </w:p>
    <w:p>
      <w:pPr>
        <w:spacing w:after="120" w:line="276" w:lineRule="auto"/>
      </w:pPr>
      <w:r>
        <w:rPr>
          <w:sz w:val="22"/>
        </w:rPr>
        <w:t>Before first patient each day, the assigned sonographer verifies:</w:t>
      </w:r>
    </w:p>
    <w:p>
      <w:pPr>
        <w:numPr>
          <w:ilvl w:val="0"/>
          <w:numId w:val="1"/>
        </w:numPr>
        <w:spacing w:after="60"/>
      </w:pPr>
      <w:r>
        <w:rPr>
          <w:sz w:val="22"/>
        </w:rPr>
        <w:t>System powers on and self-test passes</w:t>
      </w:r>
    </w:p>
    <w:p>
      <w:pPr>
        <w:numPr>
          <w:ilvl w:val="0"/>
          <w:numId w:val="1"/>
        </w:numPr>
        <w:spacing w:after="60"/>
      </w:pPr>
      <w:r>
        <w:rPr>
          <w:sz w:val="22"/>
        </w:rPr>
        <w:t>All transducers free of cracks, lens damage, or housing defects</w:t>
      </w:r>
    </w:p>
    <w:p>
      <w:pPr>
        <w:numPr>
          <w:ilvl w:val="0"/>
          <w:numId w:val="1"/>
        </w:numPr>
        <w:spacing w:after="60"/>
      </w:pPr>
      <w:r>
        <w:rPr>
          <w:sz w:val="22"/>
        </w:rPr>
        <w:t>No artifact on test pattern</w:t>
      </w:r>
    </w:p>
    <w:p>
      <w:pPr>
        <w:numPr>
          <w:ilvl w:val="0"/>
          <w:numId w:val="1"/>
        </w:numPr>
        <w:spacing w:after="60"/>
      </w:pPr>
      <w:r>
        <w:rPr>
          <w:sz w:val="22"/>
        </w:rPr>
        <w:t>Image storage and DICOM transmission functional</w:t>
      </w:r>
    </w:p>
    <w:p>
      <w:pPr>
        <w:numPr>
          <w:ilvl w:val="0"/>
          <w:numId w:val="1"/>
        </w:numPr>
        <w:spacing w:after="60"/>
      </w:pPr>
      <w:r>
        <w:rPr>
          <w:sz w:val="22"/>
        </w:rPr>
        <w:t>Adequate gel, drapes, and consumable supplies</w:t>
      </w:r>
    </w:p>
    <w:p>
      <w:pPr>
        <w:spacing w:after="120" w:line="276" w:lineRule="auto"/>
      </w:pPr>
      <w:r>
        <w:rPr>
          <w:sz w:val="22"/>
        </w:rPr>
        <w:t>Any equipment issue is documented and reported to the Director of Operations before patient scanning resumes.</w:t>
      </w:r>
    </w:p>
    <w:p>
      <w:r>
        <w:br w:type="page"/>
      </w:r>
    </w:p>
    <w:p>
      <w:pPr>
        <w:pStyle w:val="Heading1"/>
        <w:pBdr>
          <w:bottom w:val="single" w:sz="6" w:color="C9A856"/>
        </w:pBdr>
        <w:spacing w:before="480" w:after="240"/>
      </w:pPr>
      <w:r>
        <w:rPr>
          <w:b/>
          <w:sz w:val="36"/>
          <w:color w:val="003355"/>
        </w:rPr>
        <w:t>3. Infection Control &amp; Probe Care</w:t>
      </w:r>
    </w:p>
    <w:p>
      <w:pPr>
        <w:pStyle w:val="Heading2"/>
        <w:spacing w:before="360" w:after="120"/>
      </w:pPr>
      <w:r>
        <w:rPr>
          <w:b/>
          <w:sz w:val="28"/>
          <w:color w:val="004D78"/>
        </w:rPr>
        <w:t>3.1 General Probe Cleaning (Between Patients)</w:t>
      </w:r>
    </w:p>
    <w:p>
      <w:pPr>
        <w:spacing w:after="120" w:line="276" w:lineRule="auto"/>
      </w:pPr>
      <w:r>
        <w:rPr>
          <w:sz w:val="22"/>
        </w:rPr>
        <w:t>For external (transabdominal, vascular, superficial) probes after every patient encounter:</w:t>
      </w:r>
    </w:p>
    <w:p>
      <w:pPr>
        <w:numPr>
          <w:ilvl w:val="0"/>
          <w:numId w:val="2"/>
        </w:numPr>
        <w:spacing w:after="60"/>
      </w:pPr>
      <w:r>
        <w:rPr>
          <w:sz w:val="22"/>
        </w:rPr>
        <w:t>Wipe gel from probe with disposable cloth</w:t>
      </w:r>
    </w:p>
    <w:p>
      <w:pPr>
        <w:numPr>
          <w:ilvl w:val="0"/>
          <w:numId w:val="2"/>
        </w:numPr>
        <w:spacing w:after="60"/>
      </w:pPr>
      <w:r>
        <w:rPr>
          <w:sz w:val="22"/>
        </w:rPr>
        <w:t>Clean with EPA-registered low-level disinfectant wipe (e.g., Sani-Cloth Plus) per manufacturer dwell time</w:t>
      </w:r>
    </w:p>
    <w:p>
      <w:pPr>
        <w:numPr>
          <w:ilvl w:val="0"/>
          <w:numId w:val="2"/>
        </w:numPr>
        <w:spacing w:after="60"/>
      </w:pPr>
      <w:r>
        <w:rPr>
          <w:sz w:val="22"/>
        </w:rPr>
        <w:t>Allow to dry per disinfectant instructions</w:t>
      </w:r>
    </w:p>
    <w:p>
      <w:pPr>
        <w:numPr>
          <w:ilvl w:val="0"/>
          <w:numId w:val="2"/>
        </w:numPr>
        <w:spacing w:after="60"/>
      </w:pPr>
      <w:r>
        <w:rPr>
          <w:sz w:val="22"/>
        </w:rPr>
        <w:t>Inspect for residue, damage, or wear</w:t>
      </w:r>
    </w:p>
    <w:p>
      <w:pPr>
        <w:pStyle w:val="Heading2"/>
        <w:spacing w:before="360" w:after="120"/>
      </w:pPr>
      <w:r>
        <w:rPr>
          <w:b/>
          <w:sz w:val="28"/>
          <w:color w:val="004D78"/>
        </w:rPr>
        <w:t>3.2 Transvaginal Probe Reprocessing</w:t>
      </w:r>
    </w:p>
    <w:p>
      <w:pPr>
        <w:spacing w:after="120" w:line="276" w:lineRule="auto"/>
      </w:pPr>
      <w:r>
        <w:rPr>
          <w:sz w:val="22"/>
        </w:rPr>
        <w:t>Endocavitary probes require high-level disinfection (HLD) between every patient per AIUM and CDC guidelines:</w:t>
      </w:r>
    </w:p>
    <w:p>
      <w:pPr>
        <w:numPr>
          <w:ilvl w:val="0"/>
          <w:numId w:val="2"/>
        </w:numPr>
        <w:spacing w:after="60"/>
      </w:pPr>
      <w:r>
        <w:rPr>
          <w:sz w:val="22"/>
        </w:rPr>
        <w:t>Remove probe cover and dispose</w:t>
      </w:r>
    </w:p>
    <w:p>
      <w:pPr>
        <w:numPr>
          <w:ilvl w:val="0"/>
          <w:numId w:val="2"/>
        </w:numPr>
        <w:spacing w:after="60"/>
      </w:pPr>
      <w:r>
        <w:rPr>
          <w:sz w:val="22"/>
        </w:rPr>
        <w:t>Pre-clean with enzymatic cleaner to remove all visible soil</w:t>
      </w:r>
    </w:p>
    <w:p>
      <w:pPr>
        <w:numPr>
          <w:ilvl w:val="0"/>
          <w:numId w:val="2"/>
        </w:numPr>
        <w:spacing w:after="60"/>
      </w:pPr>
      <w:r>
        <w:rPr>
          <w:sz w:val="22"/>
        </w:rPr>
        <w:t>High-level disinfect using approved system (Trophon, CIDEX OPA bath, or equivalent) per manufacturer protocol and dwell time</w:t>
      </w:r>
    </w:p>
    <w:p>
      <w:pPr>
        <w:numPr>
          <w:ilvl w:val="0"/>
          <w:numId w:val="2"/>
        </w:numPr>
        <w:spacing w:after="60"/>
      </w:pPr>
      <w:r>
        <w:rPr>
          <w:sz w:val="22"/>
        </w:rPr>
        <w:t>Document reprocessing in log (date, time, patient initials, sonographer initials, disinfection method)</w:t>
      </w:r>
    </w:p>
    <w:p>
      <w:pPr>
        <w:numPr>
          <w:ilvl w:val="0"/>
          <w:numId w:val="2"/>
        </w:numPr>
        <w:spacing w:after="60"/>
      </w:pPr>
      <w:r>
        <w:rPr>
          <w:sz w:val="22"/>
        </w:rPr>
        <w:t>Store probe in dedicated clean storage location</w:t>
      </w:r>
    </w:p>
    <w:p>
      <w:pPr>
        <w:spacing w:after="120" w:line="276" w:lineRule="auto"/>
      </w:pPr>
      <w:r>
        <w:rPr>
          <w:sz w:val="22"/>
        </w:rPr>
        <w:t>Single-use sterile probe covers are mandatory for every transvaginal exam.</w:t>
      </w:r>
    </w:p>
    <w:p>
      <w:pPr>
        <w:pStyle w:val="Heading2"/>
        <w:spacing w:before="360" w:after="120"/>
      </w:pPr>
      <w:r>
        <w:rPr>
          <w:b/>
          <w:sz w:val="28"/>
          <w:color w:val="004D78"/>
        </w:rPr>
        <w:t>3.3 Hand Hygiene</w:t>
      </w:r>
    </w:p>
    <w:p>
      <w:pPr>
        <w:spacing w:after="120" w:line="276" w:lineRule="auto"/>
      </w:pPr>
      <w:r>
        <w:rPr>
          <w:sz w:val="22"/>
        </w:rPr>
        <w:t>Hand hygiene (soap and water or alcohol-based hand rub) before and after every patient encounter.</w:t>
      </w:r>
    </w:p>
    <w:p>
      <w:pPr>
        <w:pStyle w:val="Heading2"/>
        <w:spacing w:before="360" w:after="120"/>
      </w:pPr>
      <w:r>
        <w:rPr>
          <w:b/>
          <w:sz w:val="28"/>
          <w:color w:val="004D78"/>
        </w:rPr>
        <w:t>3.4 Equipment Cleaning</w:t>
      </w:r>
    </w:p>
    <w:p>
      <w:pPr>
        <w:spacing w:after="120" w:line="276" w:lineRule="auto"/>
      </w:pPr>
      <w:r>
        <w:rPr>
          <w:sz w:val="22"/>
        </w:rPr>
        <w:t>Exam tables, control panels, keyboards, and high-touch surfaces are cleaned between every patient and at end of day.</w:t>
      </w:r>
    </w:p>
    <w:p>
      <w:r>
        <w:br w:type="page"/>
      </w:r>
    </w:p>
    <w:p>
      <w:pPr>
        <w:pStyle w:val="Heading1"/>
        <w:pBdr>
          <w:bottom w:val="single" w:sz="6" w:color="C9A856"/>
        </w:pBdr>
        <w:spacing w:before="480" w:after="240"/>
      </w:pPr>
      <w:r>
        <w:rPr>
          <w:b/>
          <w:sz w:val="36"/>
          <w:color w:val="003355"/>
        </w:rPr>
        <w:t>4. Quality Assurance Program</w:t>
      </w:r>
    </w:p>
    <w:p>
      <w:pPr>
        <w:pStyle w:val="Heading2"/>
        <w:spacing w:before="360" w:after="120"/>
      </w:pPr>
      <w:r>
        <w:rPr>
          <w:b/>
          <w:sz w:val="28"/>
          <w:color w:val="004D78"/>
        </w:rPr>
        <w:t>4.1 Daily QA</w:t>
      </w:r>
    </w:p>
    <w:p>
      <w:pPr>
        <w:numPr>
          <w:ilvl w:val="0"/>
          <w:numId w:val="1"/>
        </w:numPr>
        <w:spacing w:after="60"/>
      </w:pPr>
      <w:r>
        <w:rPr>
          <w:sz w:val="22"/>
        </w:rPr>
        <w:t>Equipment check log completed</w:t>
      </w:r>
    </w:p>
    <w:p>
      <w:pPr>
        <w:numPr>
          <w:ilvl w:val="0"/>
          <w:numId w:val="1"/>
        </w:numPr>
        <w:spacing w:after="60"/>
      </w:pPr>
      <w:r>
        <w:rPr>
          <w:sz w:val="22"/>
        </w:rPr>
        <w:t>Probe inspection log completed</w:t>
      </w:r>
    </w:p>
    <w:p>
      <w:pPr>
        <w:numPr>
          <w:ilvl w:val="0"/>
          <w:numId w:val="1"/>
        </w:numPr>
        <w:spacing w:after="60"/>
      </w:pPr>
      <w:r>
        <w:rPr>
          <w:sz w:val="22"/>
        </w:rPr>
        <w:t>Reprocessing log completed (for transvaginal probes used)</w:t>
      </w:r>
    </w:p>
    <w:p>
      <w:pPr>
        <w:pStyle w:val="Heading2"/>
        <w:spacing w:before="360" w:after="120"/>
      </w:pPr>
      <w:r>
        <w:rPr>
          <w:b/>
          <w:sz w:val="28"/>
          <w:color w:val="004D78"/>
        </w:rPr>
        <w:t>4.2 Monthly QA Review</w:t>
      </w:r>
    </w:p>
    <w:p>
      <w:pPr>
        <w:numPr>
          <w:ilvl w:val="0"/>
          <w:numId w:val="1"/>
        </w:numPr>
        <w:spacing w:after="60"/>
      </w:pPr>
      <w:r>
        <w:rPr>
          <w:sz w:val="22"/>
        </w:rPr>
        <w:t>Random selection of 5–10 studies reviewed by interpreting physician for image quality</w:t>
      </w:r>
    </w:p>
    <w:p>
      <w:pPr>
        <w:numPr>
          <w:ilvl w:val="0"/>
          <w:numId w:val="1"/>
        </w:numPr>
        <w:spacing w:after="60"/>
      </w:pPr>
      <w:r>
        <w:rPr>
          <w:sz w:val="22"/>
        </w:rPr>
        <w:t>Sonographer-specific feedback documented</w:t>
      </w:r>
    </w:p>
    <w:p>
      <w:pPr>
        <w:numPr>
          <w:ilvl w:val="0"/>
          <w:numId w:val="1"/>
        </w:numPr>
        <w:spacing w:after="60"/>
      </w:pPr>
      <w:r>
        <w:rPr>
          <w:sz w:val="22"/>
        </w:rPr>
        <w:t>Equipment service log reviewed</w:t>
      </w:r>
    </w:p>
    <w:p>
      <w:pPr>
        <w:numPr>
          <w:ilvl w:val="0"/>
          <w:numId w:val="1"/>
        </w:numPr>
        <w:spacing w:after="60"/>
      </w:pPr>
      <w:r>
        <w:rPr>
          <w:sz w:val="22"/>
        </w:rPr>
        <w:t>Critical findings log reviewed</w:t>
      </w:r>
    </w:p>
    <w:p>
      <w:pPr>
        <w:pStyle w:val="Heading2"/>
        <w:spacing w:before="360" w:after="120"/>
      </w:pPr>
      <w:r>
        <w:rPr>
          <w:b/>
          <w:sz w:val="28"/>
          <w:color w:val="004D78"/>
        </w:rPr>
        <w:t>4.3 Annual QA Review</w:t>
      </w:r>
    </w:p>
    <w:p>
      <w:pPr>
        <w:numPr>
          <w:ilvl w:val="0"/>
          <w:numId w:val="1"/>
        </w:numPr>
        <w:spacing w:after="60"/>
      </w:pPr>
      <w:r>
        <w:rPr>
          <w:sz w:val="22"/>
        </w:rPr>
        <w:t>Comprehensive review of protocols against current AIUM/ACR/IAC standards</w:t>
      </w:r>
    </w:p>
    <w:p>
      <w:pPr>
        <w:numPr>
          <w:ilvl w:val="0"/>
          <w:numId w:val="1"/>
        </w:numPr>
        <w:spacing w:after="60"/>
      </w:pPr>
      <w:r>
        <w:rPr>
          <w:sz w:val="22"/>
        </w:rPr>
        <w:t>Sonographer competency assessment and continuing education review</w:t>
      </w:r>
    </w:p>
    <w:p>
      <w:pPr>
        <w:numPr>
          <w:ilvl w:val="0"/>
          <w:numId w:val="1"/>
        </w:numPr>
        <w:spacing w:after="60"/>
      </w:pPr>
      <w:r>
        <w:rPr>
          <w:sz w:val="22"/>
        </w:rPr>
        <w:t>Equipment preventive maintenance verification</w:t>
      </w:r>
    </w:p>
    <w:p>
      <w:pPr>
        <w:numPr>
          <w:ilvl w:val="0"/>
          <w:numId w:val="1"/>
        </w:numPr>
        <w:spacing w:after="60"/>
      </w:pPr>
      <w:r>
        <w:rPr>
          <w:sz w:val="22"/>
        </w:rPr>
        <w:t>Policy and procedure update if guidelines have changed</w:t>
      </w:r>
    </w:p>
    <w:p>
      <w:pPr>
        <w:pStyle w:val="Heading2"/>
        <w:spacing w:before="360" w:after="120"/>
      </w:pPr>
      <w:r>
        <w:rPr>
          <w:b/>
          <w:sz w:val="28"/>
          <w:color w:val="004D78"/>
        </w:rPr>
        <w:t>4.4 Incident Reporting</w:t>
      </w:r>
    </w:p>
    <w:p>
      <w:pPr>
        <w:spacing w:after="120" w:line="276" w:lineRule="auto"/>
      </w:pPr>
      <w:r>
        <w:rPr>
          <w:sz w:val="22"/>
        </w:rPr>
        <w:t>Any event involving patient safety, equipment failure, infection control breach, or potential liability is documented within 24 hours using the SVS Incident Report form. Incidents are reviewed by the Medical Director and Director of Operations.</w:t>
      </w:r>
    </w:p>
    <w:p>
      <w:r>
        <w:br w:type="page"/>
      </w:r>
    </w:p>
    <w:p>
      <w:pPr>
        <w:pStyle w:val="Heading1"/>
        <w:pBdr>
          <w:bottom w:val="single" w:sz="6" w:color="C9A856"/>
        </w:pBdr>
        <w:spacing w:before="480" w:after="240"/>
      </w:pPr>
      <w:r>
        <w:rPr>
          <w:b/>
          <w:sz w:val="36"/>
          <w:color w:val="003355"/>
        </w:rPr>
        <w:t>5. Reporting Standards &amp; Critical Findings</w:t>
      </w:r>
    </w:p>
    <w:p>
      <w:pPr>
        <w:pStyle w:val="Heading2"/>
        <w:spacing w:before="360" w:after="120"/>
      </w:pPr>
      <w:r>
        <w:rPr>
          <w:b/>
          <w:sz w:val="28"/>
          <w:color w:val="004D78"/>
        </w:rPr>
        <w:t>5.1 Standard Report Elements</w:t>
      </w:r>
    </w:p>
    <w:p>
      <w:pPr>
        <w:spacing w:after="120" w:line="276" w:lineRule="auto"/>
      </w:pPr>
      <w:r>
        <w:rPr>
          <w:sz w:val="22"/>
        </w:rPr>
        <w:t>All physician-interpreted reports include:</w:t>
      </w:r>
    </w:p>
    <w:p>
      <w:pPr>
        <w:numPr>
          <w:ilvl w:val="0"/>
          <w:numId w:val="1"/>
        </w:numPr>
        <w:spacing w:after="60"/>
      </w:pPr>
      <w:r>
        <w:rPr>
          <w:sz w:val="22"/>
        </w:rPr>
        <w:t>Patient name, date of birth, medical record number</w:t>
      </w:r>
    </w:p>
    <w:p>
      <w:pPr>
        <w:numPr>
          <w:ilvl w:val="0"/>
          <w:numId w:val="1"/>
        </w:numPr>
        <w:spacing w:after="60"/>
      </w:pPr>
      <w:r>
        <w:rPr>
          <w:sz w:val="22"/>
        </w:rPr>
        <w:t>Date of study and date of interpretation</w:t>
      </w:r>
    </w:p>
    <w:p>
      <w:pPr>
        <w:numPr>
          <w:ilvl w:val="0"/>
          <w:numId w:val="1"/>
        </w:numPr>
        <w:spacing w:after="60"/>
      </w:pPr>
      <w:r>
        <w:rPr>
          <w:sz w:val="22"/>
        </w:rPr>
        <w:t>Study type and CPT code</w:t>
      </w:r>
    </w:p>
    <w:p>
      <w:pPr>
        <w:numPr>
          <w:ilvl w:val="0"/>
          <w:numId w:val="1"/>
        </w:numPr>
        <w:spacing w:after="60"/>
      </w:pPr>
      <w:r>
        <w:rPr>
          <w:sz w:val="22"/>
        </w:rPr>
        <w:t>Indications for the exam</w:t>
      </w:r>
    </w:p>
    <w:p>
      <w:pPr>
        <w:numPr>
          <w:ilvl w:val="0"/>
          <w:numId w:val="1"/>
        </w:numPr>
        <w:spacing w:after="60"/>
      </w:pPr>
      <w:r>
        <w:rPr>
          <w:sz w:val="22"/>
        </w:rPr>
        <w:t>Comparison with prior studies if available</w:t>
      </w:r>
    </w:p>
    <w:p>
      <w:pPr>
        <w:numPr>
          <w:ilvl w:val="0"/>
          <w:numId w:val="1"/>
        </w:numPr>
        <w:spacing w:after="60"/>
      </w:pPr>
      <w:r>
        <w:rPr>
          <w:sz w:val="22"/>
        </w:rPr>
        <w:t>Detailed findings</w:t>
      </w:r>
    </w:p>
    <w:p>
      <w:pPr>
        <w:numPr>
          <w:ilvl w:val="0"/>
          <w:numId w:val="1"/>
        </w:numPr>
        <w:spacing w:after="60"/>
      </w:pPr>
      <w:r>
        <w:rPr>
          <w:sz w:val="22"/>
        </w:rPr>
        <w:t>Impression / summary</w:t>
      </w:r>
    </w:p>
    <w:p>
      <w:pPr>
        <w:numPr>
          <w:ilvl w:val="0"/>
          <w:numId w:val="1"/>
        </w:numPr>
        <w:spacing w:after="60"/>
      </w:pPr>
      <w:r>
        <w:rPr>
          <w:sz w:val="22"/>
        </w:rPr>
        <w:t>Recommendations for follow-up if applicable</w:t>
      </w:r>
    </w:p>
    <w:p>
      <w:pPr>
        <w:numPr>
          <w:ilvl w:val="0"/>
          <w:numId w:val="1"/>
        </w:numPr>
        <w:spacing w:after="60"/>
      </w:pPr>
      <w:r>
        <w:rPr>
          <w:sz w:val="22"/>
        </w:rPr>
        <w:t>Interpreting physician name, credentials, and electronic signature</w:t>
      </w:r>
    </w:p>
    <w:p>
      <w:pPr>
        <w:numPr>
          <w:ilvl w:val="0"/>
          <w:numId w:val="1"/>
        </w:numPr>
        <w:spacing w:after="60"/>
      </w:pPr>
      <w:r>
        <w:rPr>
          <w:sz w:val="22"/>
        </w:rPr>
        <w:t>Standard limitations disclosure</w:t>
      </w:r>
    </w:p>
    <w:p>
      <w:pPr>
        <w:pStyle w:val="Heading2"/>
        <w:spacing w:before="360" w:after="120"/>
      </w:pPr>
      <w:r>
        <w:rPr>
          <w:b/>
          <w:sz w:val="28"/>
          <w:color w:val="004D78"/>
        </w:rPr>
        <w:t>5.2 Standard Limitations Disclosure</w:t>
      </w:r>
    </w:p>
    <w:p>
      <w:pPr>
        <w:spacing w:after="120" w:line="276" w:lineRule="auto"/>
      </w:pPr>
      <w:r>
        <w:rPr>
          <w:sz w:val="22"/>
        </w:rPr>
        <w:t>Every report includes the following or equivalent language:</w:t>
      </w:r>
    </w:p>
    <w:p>
      <w:pPr>
        <w:ind w:left="720" w:right="720"/>
        <w:spacing w:before="120" w:after="120"/>
        <w:pBdr>
          <w:left w:val="single" w:sz="12" w:color="C9A856"/>
        </w:pBdr>
      </w:pPr>
      <w:r>
        <w:rPr>
          <w:i/>
          <w:sz w:val="22"/>
          <w:color w:val="5C5C5C"/>
        </w:rPr>
        <w:t>"Ultrasound is operator-dependent and limited by patient body habitus, bowel gas, scar tissue, and other factors. This study does not exclude all possible findings. Clinical correlation is recommended. This report represents imaging findings only and is not a clinical diagnosis."</w:t>
      </w:r>
    </w:p>
    <w:p>
      <w:pPr>
        <w:pStyle w:val="Heading2"/>
        <w:spacing w:before="360" w:after="120"/>
      </w:pPr>
      <w:r>
        <w:rPr>
          <w:b/>
          <w:sz w:val="28"/>
          <w:color w:val="004D78"/>
        </w:rPr>
        <w:t>5.3 Report Turnaround</w:t>
      </w:r>
    </w:p>
    <w:p>
      <w:pPr>
        <w:numPr>
          <w:ilvl w:val="0"/>
          <w:numId w:val="1"/>
        </w:numPr>
        <w:spacing w:after="60"/>
      </w:pPr>
      <w:r>
        <w:rPr>
          <w:sz w:val="22"/>
        </w:rPr>
        <w:t>Routine studies: physician-interpreted report delivered within 2–3 business days</w:t>
      </w:r>
    </w:p>
    <w:p>
      <w:pPr>
        <w:numPr>
          <w:ilvl w:val="0"/>
          <w:numId w:val="1"/>
        </w:numPr>
        <w:spacing w:after="60"/>
      </w:pPr>
      <w:r>
        <w:rPr>
          <w:sz w:val="22"/>
        </w:rPr>
        <w:t>Studies with limitations requiring re-imaging: patient notified within 1 business day</w:t>
      </w:r>
    </w:p>
    <w:p>
      <w:pPr>
        <w:numPr>
          <w:ilvl w:val="0"/>
          <w:numId w:val="1"/>
        </w:numPr>
        <w:spacing w:after="60"/>
      </w:pPr>
      <w:r>
        <w:rPr>
          <w:sz w:val="22"/>
        </w:rPr>
        <w:t>Critical findings (see below): immediate verbal/electronic notification</w:t>
      </w:r>
    </w:p>
    <w:p>
      <w:pPr>
        <w:pStyle w:val="Heading2"/>
        <w:spacing w:before="360" w:after="120"/>
      </w:pPr>
      <w:r>
        <w:rPr>
          <w:b/>
          <w:sz w:val="28"/>
          <w:color w:val="004D78"/>
        </w:rPr>
        <w:t>5.4 Critical Findings Communication</w:t>
      </w:r>
    </w:p>
    <w:p>
      <w:pPr>
        <w:spacing w:after="120" w:line="276" w:lineRule="auto"/>
      </w:pPr>
      <w:r>
        <w:rPr>
          <w:sz w:val="22"/>
        </w:rPr>
        <w:t>Critical findings require immediate communication to the patient and/or referring physician. Examples include:</w:t>
      </w:r>
    </w:p>
    <w:p>
      <w:pPr>
        <w:numPr>
          <w:ilvl w:val="0"/>
          <w:numId w:val="1"/>
        </w:numPr>
        <w:spacing w:after="60"/>
      </w:pPr>
      <w:r>
        <w:rPr>
          <w:sz w:val="22"/>
        </w:rPr>
        <w:t>Suspected aortic aneurysm ≥5 cm or rapidly expanding</w:t>
      </w:r>
    </w:p>
    <w:p>
      <w:pPr>
        <w:numPr>
          <w:ilvl w:val="0"/>
          <w:numId w:val="1"/>
        </w:numPr>
        <w:spacing w:after="60"/>
      </w:pPr>
      <w:r>
        <w:rPr>
          <w:sz w:val="22"/>
        </w:rPr>
        <w:t>Suspected deep vein thrombosis with high embolic risk features</w:t>
      </w:r>
    </w:p>
    <w:p>
      <w:pPr>
        <w:numPr>
          <w:ilvl w:val="0"/>
          <w:numId w:val="1"/>
        </w:numPr>
        <w:spacing w:after="60"/>
      </w:pPr>
      <w:r>
        <w:rPr>
          <w:sz w:val="22"/>
        </w:rPr>
        <w:t>Suspected ectopic pregnancy or non-viable pregnancy where intervention may be time-sensitive</w:t>
      </w:r>
    </w:p>
    <w:p>
      <w:pPr>
        <w:numPr>
          <w:ilvl w:val="0"/>
          <w:numId w:val="1"/>
        </w:numPr>
        <w:spacing w:after="60"/>
      </w:pPr>
      <w:r>
        <w:rPr>
          <w:sz w:val="22"/>
        </w:rPr>
        <w:t>Suspected acute cholecystitis with sonographic Murphy sign</w:t>
      </w:r>
    </w:p>
    <w:p>
      <w:pPr>
        <w:numPr>
          <w:ilvl w:val="0"/>
          <w:numId w:val="1"/>
        </w:numPr>
        <w:spacing w:after="60"/>
      </w:pPr>
      <w:r>
        <w:rPr>
          <w:sz w:val="22"/>
        </w:rPr>
        <w:t>Suspected malignancy with concerning features (highly suspicious mass, suspicious lymphadenopathy)</w:t>
      </w:r>
    </w:p>
    <w:p>
      <w:pPr>
        <w:numPr>
          <w:ilvl w:val="0"/>
          <w:numId w:val="1"/>
        </w:numPr>
        <w:spacing w:after="60"/>
      </w:pPr>
      <w:r>
        <w:rPr>
          <w:sz w:val="22"/>
        </w:rPr>
        <w:t>Suspected fetal demise or significant anomaly requiring urgent OB referral</w:t>
      </w:r>
    </w:p>
    <w:p>
      <w:pPr>
        <w:spacing w:after="120" w:line="276" w:lineRule="auto"/>
      </w:pPr>
      <w:r>
        <w:rPr>
          <w:sz w:val="22"/>
        </w:rPr>
        <w:t>Critical findings communication protocol:</w:t>
      </w:r>
    </w:p>
    <w:p>
      <w:pPr>
        <w:numPr>
          <w:ilvl w:val="0"/>
          <w:numId w:val="2"/>
        </w:numPr>
        <w:spacing w:after="60"/>
      </w:pPr>
      <w:r>
        <w:rPr>
          <w:sz w:val="22"/>
        </w:rPr>
        <w:t>Interpreting physician identifies critical finding</w:t>
      </w:r>
    </w:p>
    <w:p>
      <w:pPr>
        <w:numPr>
          <w:ilvl w:val="0"/>
          <w:numId w:val="2"/>
        </w:numPr>
        <w:spacing w:after="60"/>
      </w:pPr>
      <w:r>
        <w:rPr>
          <w:sz w:val="22"/>
        </w:rPr>
        <w:t>Patient and/or referring physician contacted by phone within 1 hour during business hours, or by start of next business day if after-hours</w:t>
      </w:r>
    </w:p>
    <w:p>
      <w:pPr>
        <w:numPr>
          <w:ilvl w:val="0"/>
          <w:numId w:val="2"/>
        </w:numPr>
        <w:spacing w:after="60"/>
      </w:pPr>
      <w:r>
        <w:rPr>
          <w:sz w:val="22"/>
        </w:rPr>
        <w:t>Communication is documented in the report and in a critical findings log including: date, time, person contacted, method, message conveyed, and acknowledgment</w:t>
      </w:r>
    </w:p>
    <w:p>
      <w:pPr>
        <w:numPr>
          <w:ilvl w:val="0"/>
          <w:numId w:val="2"/>
        </w:numPr>
        <w:spacing w:after="60"/>
      </w:pPr>
      <w:r>
        <w:rPr>
          <w:sz w:val="22"/>
        </w:rPr>
        <w:t>Where appropriate, instructions to seek emergency care are given clearly</w:t>
      </w:r>
    </w:p>
    <w:p>
      <w:r>
        <w:br w:type="page"/>
      </w:r>
    </w:p>
    <w:p>
      <w:pPr>
        <w:pStyle w:val="Heading1"/>
        <w:pBdr>
          <w:bottom w:val="single" w:sz="6" w:color="C9A856"/>
        </w:pBdr>
        <w:spacing w:before="480" w:after="240"/>
      </w:pPr>
      <w:r>
        <w:rPr>
          <w:b/>
          <w:sz w:val="36"/>
          <w:color w:val="003355"/>
        </w:rPr>
        <w:t>6. Vascular Ultrasound Protocols</w:t>
      </w:r>
    </w:p>
    <w:p>
      <w:pPr>
        <w:pStyle w:val="Heading2"/>
        <w:spacing w:before="360" w:after="120"/>
      </w:pPr>
      <w:r>
        <w:rPr>
          <w:b/>
          <w:sz w:val="28"/>
          <w:color w:val="004D78"/>
        </w:rPr>
        <w:t>6.1 Carotid Duplex Ultrasound (CPT 93880)</w:t>
      </w:r>
    </w:p>
    <w:p>
      <w:pPr>
        <w:pStyle w:val="Heading3"/>
        <w:spacing w:before="240" w:after="80"/>
      </w:pPr>
      <w:r>
        <w:rPr>
          <w:b/>
          <w:sz w:val="24"/>
          <w:color w:val="2A2A2A"/>
        </w:rPr>
        <w:t>Indications</w:t>
      </w:r>
    </w:p>
    <w:p>
      <w:pPr>
        <w:numPr>
          <w:ilvl w:val="0"/>
          <w:numId w:val="1"/>
        </w:numPr>
        <w:spacing w:after="60"/>
      </w:pPr>
      <w:r>
        <w:rPr>
          <w:sz w:val="22"/>
        </w:rPr>
        <w:t>Screening for carotid artery stenosis in patients with risk factors</w:t>
      </w:r>
    </w:p>
    <w:p>
      <w:pPr>
        <w:numPr>
          <w:ilvl w:val="0"/>
          <w:numId w:val="1"/>
        </w:numPr>
        <w:spacing w:after="60"/>
      </w:pPr>
      <w:r>
        <w:rPr>
          <w:sz w:val="22"/>
        </w:rPr>
        <w:t>Evaluation of carotid bruit, transient ischemic attack, stroke, or syncope</w:t>
      </w:r>
    </w:p>
    <w:p>
      <w:pPr>
        <w:numPr>
          <w:ilvl w:val="0"/>
          <w:numId w:val="1"/>
        </w:numPr>
        <w:spacing w:after="60"/>
      </w:pPr>
      <w:r>
        <w:rPr>
          <w:sz w:val="22"/>
        </w:rPr>
        <w:t>Follow-up of known carotid disease</w:t>
      </w:r>
    </w:p>
    <w:p>
      <w:pPr>
        <w:numPr>
          <w:ilvl w:val="0"/>
          <w:numId w:val="1"/>
        </w:numPr>
        <w:spacing w:after="60"/>
      </w:pPr>
      <w:r>
        <w:rPr>
          <w:sz w:val="22"/>
        </w:rPr>
        <w:t>CIMT (carotid intima-media thickness) assessment</w:t>
      </w:r>
    </w:p>
    <w:p>
      <w:pPr>
        <w:pStyle w:val="Heading3"/>
        <w:spacing w:before="240" w:after="80"/>
      </w:pPr>
      <w:r>
        <w:rPr>
          <w:b/>
          <w:sz w:val="24"/>
          <w:color w:val="2A2A2A"/>
        </w:rPr>
        <w:t>Patient Preparation</w:t>
      </w:r>
    </w:p>
    <w:p>
      <w:pPr>
        <w:numPr>
          <w:ilvl w:val="0"/>
          <w:numId w:val="1"/>
        </w:numPr>
        <w:spacing w:after="60"/>
      </w:pPr>
      <w:r>
        <w:rPr>
          <w:sz w:val="22"/>
        </w:rPr>
        <w:t>No special preparation required</w:t>
      </w:r>
    </w:p>
    <w:p>
      <w:pPr>
        <w:numPr>
          <w:ilvl w:val="0"/>
          <w:numId w:val="1"/>
        </w:numPr>
        <w:spacing w:after="60"/>
      </w:pPr>
      <w:r>
        <w:rPr>
          <w:sz w:val="22"/>
        </w:rPr>
        <w:t>Patient supine with neck slightly extended and rotated away from side being scanned</w:t>
      </w:r>
    </w:p>
    <w:p>
      <w:pPr>
        <w:pStyle w:val="Heading3"/>
        <w:spacing w:before="240" w:after="80"/>
      </w:pPr>
      <w:r>
        <w:rPr>
          <w:b/>
          <w:sz w:val="24"/>
          <w:color w:val="2A2A2A"/>
        </w:rPr>
        <w:t>Equipment</w:t>
      </w:r>
    </w:p>
    <w:p>
      <w:pPr>
        <w:numPr>
          <w:ilvl w:val="0"/>
          <w:numId w:val="1"/>
        </w:numPr>
        <w:spacing w:after="60"/>
      </w:pPr>
      <w:r>
        <w:rPr>
          <w:sz w:val="22"/>
        </w:rPr>
        <w:t>High-frequency linear transducer (7–12 MHz)</w:t>
      </w:r>
    </w:p>
    <w:p>
      <w:pPr>
        <w:numPr>
          <w:ilvl w:val="0"/>
          <w:numId w:val="1"/>
        </w:numPr>
        <w:spacing w:after="60"/>
      </w:pPr>
      <w:r>
        <w:rPr>
          <w:sz w:val="22"/>
        </w:rPr>
        <w:t>Color and spectral Doppler capability</w:t>
      </w:r>
    </w:p>
    <w:p>
      <w:pPr>
        <w:pStyle w:val="Heading3"/>
        <w:spacing w:before="240" w:after="80"/>
      </w:pPr>
      <w:r>
        <w:rPr>
          <w:b/>
          <w:sz w:val="24"/>
          <w:color w:val="2A2A2A"/>
        </w:rPr>
        <w:t>Required Documentation — Each Side (Right and Left)</w:t>
      </w:r>
    </w:p>
    <w:p>
      <w:pPr>
        <w:numPr>
          <w:ilvl w:val="0"/>
          <w:numId w:val="1"/>
        </w:numPr>
        <w:spacing w:after="60"/>
      </w:pPr>
      <w:r>
        <w:rPr>
          <w:sz w:val="22"/>
        </w:rPr>
        <w:t>Common carotid artery — proximal, mid, distal — grayscale and color</w:t>
      </w:r>
    </w:p>
    <w:p>
      <w:pPr>
        <w:numPr>
          <w:ilvl w:val="0"/>
          <w:numId w:val="1"/>
        </w:numPr>
        <w:spacing w:after="60"/>
      </w:pPr>
      <w:r>
        <w:rPr>
          <w:sz w:val="22"/>
        </w:rPr>
        <w:t>Carotid bulb / bifurcation — grayscale and color</w:t>
      </w:r>
    </w:p>
    <w:p>
      <w:pPr>
        <w:numPr>
          <w:ilvl w:val="0"/>
          <w:numId w:val="1"/>
        </w:numPr>
        <w:spacing w:after="60"/>
      </w:pPr>
      <w:r>
        <w:rPr>
          <w:sz w:val="22"/>
        </w:rPr>
        <w:t>Internal carotid artery (ICA) — proximal, mid, distal — grayscale, color, and spectral Doppler</w:t>
      </w:r>
    </w:p>
    <w:p>
      <w:pPr>
        <w:numPr>
          <w:ilvl w:val="0"/>
          <w:numId w:val="1"/>
        </w:numPr>
        <w:spacing w:after="60"/>
      </w:pPr>
      <w:r>
        <w:rPr>
          <w:sz w:val="22"/>
        </w:rPr>
        <w:t>External carotid artery (ECA) — proximal — color and spectral Doppler</w:t>
      </w:r>
    </w:p>
    <w:p>
      <w:pPr>
        <w:numPr>
          <w:ilvl w:val="0"/>
          <w:numId w:val="1"/>
        </w:numPr>
        <w:spacing w:after="60"/>
      </w:pPr>
      <w:r>
        <w:rPr>
          <w:sz w:val="22"/>
        </w:rPr>
        <w:t>Vertebral artery — color and spectral Doppler with flow direction documented</w:t>
      </w:r>
    </w:p>
    <w:p>
      <w:pPr>
        <w:numPr>
          <w:ilvl w:val="0"/>
          <w:numId w:val="1"/>
        </w:numPr>
        <w:spacing w:after="60"/>
      </w:pPr>
      <w:r>
        <w:rPr>
          <w:sz w:val="22"/>
        </w:rPr>
        <w:t>Subclavian artery — color and spectral Doppler</w:t>
      </w:r>
    </w:p>
    <w:p>
      <w:pPr>
        <w:numPr>
          <w:ilvl w:val="0"/>
          <w:numId w:val="1"/>
        </w:numPr>
        <w:spacing w:after="60"/>
      </w:pPr>
      <w:r>
        <w:rPr>
          <w:sz w:val="22"/>
        </w:rPr>
        <w:t>Plaque characterization (location, surface, echogenicity, calcification)</w:t>
      </w:r>
    </w:p>
    <w:p>
      <w:pPr>
        <w:pStyle w:val="Heading3"/>
        <w:spacing w:before="240" w:after="80"/>
      </w:pPr>
      <w:r>
        <w:rPr>
          <w:b/>
          <w:sz w:val="24"/>
          <w:color w:val="2A2A2A"/>
        </w:rPr>
        <w:t>Required Measurements</w:t>
      </w:r>
    </w:p>
    <w:p>
      <w:pPr>
        <w:numPr>
          <w:ilvl w:val="0"/>
          <w:numId w:val="1"/>
        </w:numPr>
        <w:spacing w:after="60"/>
      </w:pPr>
      <w:r>
        <w:rPr>
          <w:sz w:val="22"/>
        </w:rPr>
        <w:t>Peak systolic velocity (PSV) — ICA, CCA, ECA</w:t>
      </w:r>
    </w:p>
    <w:p>
      <w:pPr>
        <w:numPr>
          <w:ilvl w:val="0"/>
          <w:numId w:val="1"/>
        </w:numPr>
        <w:spacing w:after="60"/>
      </w:pPr>
      <w:r>
        <w:rPr>
          <w:sz w:val="22"/>
        </w:rPr>
        <w:t>End diastolic velocity (EDV) — ICA</w:t>
      </w:r>
    </w:p>
    <w:p>
      <w:pPr>
        <w:numPr>
          <w:ilvl w:val="0"/>
          <w:numId w:val="1"/>
        </w:numPr>
        <w:spacing w:after="60"/>
      </w:pPr>
      <w:r>
        <w:rPr>
          <w:sz w:val="22"/>
        </w:rPr>
        <w:t>ICA/CCA PSV ratio</w:t>
      </w:r>
    </w:p>
    <w:p>
      <w:pPr>
        <w:numPr>
          <w:ilvl w:val="0"/>
          <w:numId w:val="1"/>
        </w:numPr>
        <w:spacing w:after="60"/>
      </w:pPr>
      <w:r>
        <w:rPr>
          <w:sz w:val="22"/>
        </w:rPr>
        <w:t>CIMT measurement (when performed) — far wall of distal CCA, 1 cm proximal to bulb, plaque-free segment, optimal angle of insonation</w:t>
      </w:r>
    </w:p>
    <w:p>
      <w:pPr>
        <w:pStyle w:val="Heading3"/>
        <w:spacing w:before="240" w:after="80"/>
      </w:pPr>
      <w:r>
        <w:rPr>
          <w:b/>
          <w:sz w:val="24"/>
          <w:color w:val="2A2A2A"/>
        </w:rPr>
        <w:t>Image Labeling</w:t>
      </w:r>
    </w:p>
    <w:p>
      <w:pPr>
        <w:spacing w:after="120" w:line="276" w:lineRule="auto"/>
      </w:pPr>
      <w:r>
        <w:rPr>
          <w:sz w:val="22"/>
        </w:rPr>
        <w:t>All images labeled with side (RT/LT), vessel, location, and Doppler angle (≤60°).</w:t>
      </w:r>
    </w:p>
    <w:p>
      <w:pPr>
        <w:pStyle w:val="Heading2"/>
        <w:spacing w:before="360" w:after="120"/>
      </w:pPr>
      <w:r>
        <w:rPr>
          <w:b/>
          <w:sz w:val="28"/>
          <w:color w:val="004D78"/>
        </w:rPr>
        <w:t>6.2 Abdominal Aorta Screening (CPT 76706)</w:t>
      </w:r>
    </w:p>
    <w:p>
      <w:pPr>
        <w:pStyle w:val="Heading3"/>
        <w:spacing w:before="240" w:after="80"/>
      </w:pPr>
      <w:r>
        <w:rPr>
          <w:b/>
          <w:sz w:val="24"/>
          <w:color w:val="2A2A2A"/>
        </w:rPr>
        <w:t>Indications</w:t>
      </w:r>
    </w:p>
    <w:p>
      <w:pPr>
        <w:numPr>
          <w:ilvl w:val="0"/>
          <w:numId w:val="1"/>
        </w:numPr>
        <w:spacing w:after="60"/>
      </w:pPr>
      <w:r>
        <w:rPr>
          <w:sz w:val="22"/>
        </w:rPr>
        <w:t>Men age 65–75 with smoking history (USPSTF recommendation)</w:t>
      </w:r>
    </w:p>
    <w:p>
      <w:pPr>
        <w:numPr>
          <w:ilvl w:val="0"/>
          <w:numId w:val="1"/>
        </w:numPr>
        <w:spacing w:after="60"/>
      </w:pPr>
      <w:r>
        <w:rPr>
          <w:sz w:val="22"/>
        </w:rPr>
        <w:t>Patients with family history of AAA</w:t>
      </w:r>
    </w:p>
    <w:p>
      <w:pPr>
        <w:numPr>
          <w:ilvl w:val="0"/>
          <w:numId w:val="1"/>
        </w:numPr>
        <w:spacing w:after="60"/>
      </w:pPr>
      <w:r>
        <w:rPr>
          <w:sz w:val="22"/>
        </w:rPr>
        <w:t>Symptoms suggestive of aortic pathology</w:t>
      </w:r>
    </w:p>
    <w:p>
      <w:pPr>
        <w:pStyle w:val="Heading3"/>
        <w:spacing w:before="240" w:after="80"/>
      </w:pPr>
      <w:r>
        <w:rPr>
          <w:b/>
          <w:sz w:val="24"/>
          <w:color w:val="2A2A2A"/>
        </w:rPr>
        <w:t>Patient Preparation</w:t>
      </w:r>
    </w:p>
    <w:p>
      <w:pPr>
        <w:numPr>
          <w:ilvl w:val="0"/>
          <w:numId w:val="1"/>
        </w:numPr>
        <w:spacing w:after="60"/>
      </w:pPr>
      <w:r>
        <w:rPr>
          <w:sz w:val="22"/>
        </w:rPr>
        <w:t>Fasting 6–8 hours preferred to minimize bowel gas</w:t>
      </w:r>
    </w:p>
    <w:p>
      <w:pPr>
        <w:numPr>
          <w:ilvl w:val="0"/>
          <w:numId w:val="1"/>
        </w:numPr>
        <w:spacing w:after="60"/>
      </w:pPr>
      <w:r>
        <w:rPr>
          <w:sz w:val="22"/>
        </w:rPr>
        <w:t>Patient supine</w:t>
      </w:r>
    </w:p>
    <w:p>
      <w:pPr>
        <w:pStyle w:val="Heading3"/>
        <w:spacing w:before="240" w:after="80"/>
      </w:pPr>
      <w:r>
        <w:rPr>
          <w:b/>
          <w:sz w:val="24"/>
          <w:color w:val="2A2A2A"/>
        </w:rPr>
        <w:t>Equipment</w:t>
      </w:r>
    </w:p>
    <w:p>
      <w:pPr>
        <w:numPr>
          <w:ilvl w:val="0"/>
          <w:numId w:val="1"/>
        </w:numPr>
        <w:spacing w:after="60"/>
      </w:pPr>
      <w:r>
        <w:rPr>
          <w:sz w:val="22"/>
        </w:rPr>
        <w:t>Curvilinear transducer (2–5 MHz)</w:t>
      </w:r>
    </w:p>
    <w:p>
      <w:pPr>
        <w:pStyle w:val="Heading3"/>
        <w:spacing w:before="240" w:after="80"/>
      </w:pPr>
      <w:r>
        <w:rPr>
          <w:b/>
          <w:sz w:val="24"/>
          <w:color w:val="2A2A2A"/>
        </w:rPr>
        <w:t>Required Documentation</w:t>
      </w:r>
    </w:p>
    <w:p>
      <w:pPr>
        <w:numPr>
          <w:ilvl w:val="0"/>
          <w:numId w:val="1"/>
        </w:numPr>
        <w:spacing w:after="60"/>
      </w:pPr>
      <w:r>
        <w:rPr>
          <w:sz w:val="22"/>
        </w:rPr>
        <w:t>Proximal aorta — longitudinal and transverse</w:t>
      </w:r>
    </w:p>
    <w:p>
      <w:pPr>
        <w:numPr>
          <w:ilvl w:val="0"/>
          <w:numId w:val="1"/>
        </w:numPr>
        <w:spacing w:after="60"/>
      </w:pPr>
      <w:r>
        <w:rPr>
          <w:sz w:val="22"/>
        </w:rPr>
        <w:t>Mid aorta — longitudinal and transverse</w:t>
      </w:r>
    </w:p>
    <w:p>
      <w:pPr>
        <w:numPr>
          <w:ilvl w:val="0"/>
          <w:numId w:val="1"/>
        </w:numPr>
        <w:spacing w:after="60"/>
      </w:pPr>
      <w:r>
        <w:rPr>
          <w:sz w:val="22"/>
        </w:rPr>
        <w:t>Distal aorta (to bifurcation) — longitudinal and transverse</w:t>
      </w:r>
    </w:p>
    <w:p>
      <w:pPr>
        <w:numPr>
          <w:ilvl w:val="0"/>
          <w:numId w:val="1"/>
        </w:numPr>
        <w:spacing w:after="60"/>
      </w:pPr>
      <w:r>
        <w:rPr>
          <w:sz w:val="22"/>
        </w:rPr>
        <w:t>Maximum AP diameter at largest segment — outer wall to outer wall</w:t>
      </w:r>
    </w:p>
    <w:p>
      <w:pPr>
        <w:numPr>
          <w:ilvl w:val="0"/>
          <w:numId w:val="1"/>
        </w:numPr>
        <w:spacing w:after="60"/>
      </w:pPr>
      <w:r>
        <w:rPr>
          <w:sz w:val="22"/>
        </w:rPr>
        <w:t>Any focal dilation, thrombus, or dissection</w:t>
      </w:r>
    </w:p>
    <w:p>
      <w:pPr>
        <w:pStyle w:val="Heading3"/>
        <w:spacing w:before="240" w:after="80"/>
      </w:pPr>
      <w:r>
        <w:rPr>
          <w:b/>
          <w:sz w:val="24"/>
          <w:color w:val="2A2A2A"/>
        </w:rPr>
        <w:t>Reporting Thresholds</w:t>
      </w:r>
    </w:p>
    <w:p>
      <w:pPr>
        <w:numPr>
          <w:ilvl w:val="0"/>
          <w:numId w:val="1"/>
        </w:numPr>
        <w:spacing w:after="60"/>
      </w:pPr>
      <w:r>
        <w:rPr>
          <w:sz w:val="22"/>
        </w:rPr>
        <w:t>&lt;3.0 cm: normal</w:t>
      </w:r>
    </w:p>
    <w:p>
      <w:pPr>
        <w:numPr>
          <w:ilvl w:val="0"/>
          <w:numId w:val="1"/>
        </w:numPr>
        <w:spacing w:after="60"/>
      </w:pPr>
      <w:r>
        <w:rPr>
          <w:sz w:val="22"/>
        </w:rPr>
        <w:t>3.0–4.4 cm: small aneurysm, follow annually</w:t>
      </w:r>
    </w:p>
    <w:p>
      <w:pPr>
        <w:numPr>
          <w:ilvl w:val="0"/>
          <w:numId w:val="1"/>
        </w:numPr>
        <w:spacing w:after="60"/>
      </w:pPr>
      <w:r>
        <w:rPr>
          <w:sz w:val="22"/>
        </w:rPr>
        <w:t>4.5–5.4 cm: moderate aneurysm, follow every 6 months</w:t>
      </w:r>
    </w:p>
    <w:p>
      <w:pPr>
        <w:numPr>
          <w:ilvl w:val="0"/>
          <w:numId w:val="1"/>
        </w:numPr>
        <w:spacing w:after="60"/>
      </w:pPr>
      <w:r>
        <w:rPr>
          <w:sz w:val="22"/>
        </w:rPr>
        <w:t>≥5.5 cm: surgical consultation typically recommended (CRITICAL FINDING)</w:t>
      </w:r>
    </w:p>
    <w:p>
      <w:pPr>
        <w:pStyle w:val="Heading2"/>
        <w:spacing w:before="360" w:after="120"/>
      </w:pPr>
      <w:r>
        <w:rPr>
          <w:b/>
          <w:sz w:val="28"/>
          <w:color w:val="004D78"/>
        </w:rPr>
        <w:t>6.3 Lower Extremity Arterial Duplex (CPT 93925)</w:t>
      </w:r>
    </w:p>
    <w:p>
      <w:pPr>
        <w:pStyle w:val="Heading3"/>
        <w:spacing w:before="240" w:after="80"/>
      </w:pPr>
      <w:r>
        <w:rPr>
          <w:b/>
          <w:sz w:val="24"/>
          <w:color w:val="2A2A2A"/>
        </w:rPr>
        <w:t>Indications</w:t>
      </w:r>
    </w:p>
    <w:p>
      <w:pPr>
        <w:numPr>
          <w:ilvl w:val="0"/>
          <w:numId w:val="1"/>
        </w:numPr>
        <w:spacing w:after="60"/>
      </w:pPr>
      <w:r>
        <w:rPr>
          <w:sz w:val="22"/>
        </w:rPr>
        <w:t>Symptoms of peripheral artery disease (claudication, rest pain, non-healing wounds)</w:t>
      </w:r>
    </w:p>
    <w:p>
      <w:pPr>
        <w:numPr>
          <w:ilvl w:val="0"/>
          <w:numId w:val="1"/>
        </w:numPr>
        <w:spacing w:after="60"/>
      </w:pPr>
      <w:r>
        <w:rPr>
          <w:sz w:val="22"/>
        </w:rPr>
        <w:t>Abnormal ankle-brachial index (ABI)</w:t>
      </w:r>
    </w:p>
    <w:p>
      <w:pPr>
        <w:numPr>
          <w:ilvl w:val="0"/>
          <w:numId w:val="1"/>
        </w:numPr>
        <w:spacing w:after="60"/>
      </w:pPr>
      <w:r>
        <w:rPr>
          <w:sz w:val="22"/>
        </w:rPr>
        <w:t>Pre-procedure planning or surveillance</w:t>
      </w:r>
    </w:p>
    <w:p>
      <w:pPr>
        <w:pStyle w:val="Heading3"/>
        <w:spacing w:before="240" w:after="80"/>
      </w:pPr>
      <w:r>
        <w:rPr>
          <w:b/>
          <w:sz w:val="24"/>
          <w:color w:val="2A2A2A"/>
        </w:rPr>
        <w:t>Patient Preparation</w:t>
      </w:r>
    </w:p>
    <w:p>
      <w:pPr>
        <w:numPr>
          <w:ilvl w:val="0"/>
          <w:numId w:val="1"/>
        </w:numPr>
        <w:spacing w:after="60"/>
      </w:pPr>
      <w:r>
        <w:rPr>
          <w:sz w:val="22"/>
        </w:rPr>
        <w:t>No special preparation</w:t>
      </w:r>
    </w:p>
    <w:p>
      <w:pPr>
        <w:numPr>
          <w:ilvl w:val="0"/>
          <w:numId w:val="1"/>
        </w:numPr>
        <w:spacing w:after="60"/>
      </w:pPr>
      <w:r>
        <w:rPr>
          <w:sz w:val="22"/>
        </w:rPr>
        <w:t>Patient supine, then prone for popliteal access if needed</w:t>
      </w:r>
    </w:p>
    <w:p>
      <w:pPr>
        <w:numPr>
          <w:ilvl w:val="0"/>
          <w:numId w:val="1"/>
        </w:numPr>
        <w:spacing w:after="60"/>
      </w:pPr>
      <w:r>
        <w:rPr>
          <w:sz w:val="22"/>
        </w:rPr>
        <w:t>Room temperature comfortable to avoid vasoconstriction</w:t>
      </w:r>
    </w:p>
    <w:p>
      <w:pPr>
        <w:pStyle w:val="Heading3"/>
        <w:spacing w:before="240" w:after="80"/>
      </w:pPr>
      <w:r>
        <w:rPr>
          <w:b/>
          <w:sz w:val="24"/>
          <w:color w:val="2A2A2A"/>
        </w:rPr>
        <w:t>Required Documentation — Each Leg</w:t>
      </w:r>
    </w:p>
    <w:p>
      <w:pPr>
        <w:numPr>
          <w:ilvl w:val="0"/>
          <w:numId w:val="1"/>
        </w:numPr>
        <w:spacing w:after="60"/>
      </w:pPr>
      <w:r>
        <w:rPr>
          <w:sz w:val="22"/>
        </w:rPr>
        <w:t>Common femoral artery — grayscale, color, spectral Doppler</w:t>
      </w:r>
    </w:p>
    <w:p>
      <w:pPr>
        <w:numPr>
          <w:ilvl w:val="0"/>
          <w:numId w:val="1"/>
        </w:numPr>
        <w:spacing w:after="60"/>
      </w:pPr>
      <w:r>
        <w:rPr>
          <w:sz w:val="22"/>
        </w:rPr>
        <w:t>Profunda femoris — proximal</w:t>
      </w:r>
    </w:p>
    <w:p>
      <w:pPr>
        <w:numPr>
          <w:ilvl w:val="0"/>
          <w:numId w:val="1"/>
        </w:numPr>
        <w:spacing w:after="60"/>
      </w:pPr>
      <w:r>
        <w:rPr>
          <w:sz w:val="22"/>
        </w:rPr>
        <w:t>Superficial femoral artery — proximal, mid, distal</w:t>
      </w:r>
    </w:p>
    <w:p>
      <w:pPr>
        <w:numPr>
          <w:ilvl w:val="0"/>
          <w:numId w:val="1"/>
        </w:numPr>
        <w:spacing w:after="60"/>
      </w:pPr>
      <w:r>
        <w:rPr>
          <w:sz w:val="22"/>
        </w:rPr>
        <w:t>Popliteal artery — proximal, mid, distal</w:t>
      </w:r>
    </w:p>
    <w:p>
      <w:pPr>
        <w:numPr>
          <w:ilvl w:val="0"/>
          <w:numId w:val="1"/>
        </w:numPr>
        <w:spacing w:after="60"/>
      </w:pPr>
      <w:r>
        <w:rPr>
          <w:sz w:val="22"/>
        </w:rPr>
        <w:t>Tibioperoneal trunk</w:t>
      </w:r>
    </w:p>
    <w:p>
      <w:pPr>
        <w:numPr>
          <w:ilvl w:val="0"/>
          <w:numId w:val="1"/>
        </w:numPr>
        <w:spacing w:after="60"/>
      </w:pPr>
      <w:r>
        <w:rPr>
          <w:sz w:val="22"/>
        </w:rPr>
        <w:t>Anterior tibial artery — proximal and distal</w:t>
      </w:r>
    </w:p>
    <w:p>
      <w:pPr>
        <w:numPr>
          <w:ilvl w:val="0"/>
          <w:numId w:val="1"/>
        </w:numPr>
        <w:spacing w:after="60"/>
      </w:pPr>
      <w:r>
        <w:rPr>
          <w:sz w:val="22"/>
        </w:rPr>
        <w:t>Posterior tibial artery — proximal and distal</w:t>
      </w:r>
    </w:p>
    <w:p>
      <w:pPr>
        <w:numPr>
          <w:ilvl w:val="0"/>
          <w:numId w:val="1"/>
        </w:numPr>
        <w:spacing w:after="60"/>
      </w:pPr>
      <w:r>
        <w:rPr>
          <w:sz w:val="22"/>
        </w:rPr>
        <w:t>Peroneal artery — proximal and distal</w:t>
      </w:r>
    </w:p>
    <w:p>
      <w:pPr>
        <w:numPr>
          <w:ilvl w:val="0"/>
          <w:numId w:val="1"/>
        </w:numPr>
        <w:spacing w:after="60"/>
      </w:pPr>
      <w:r>
        <w:rPr>
          <w:sz w:val="22"/>
        </w:rPr>
        <w:t>Dorsalis pedis artery</w:t>
      </w:r>
    </w:p>
    <w:p>
      <w:pPr>
        <w:pStyle w:val="Heading3"/>
        <w:spacing w:before="240" w:after="80"/>
      </w:pPr>
      <w:r>
        <w:rPr>
          <w:b/>
          <w:sz w:val="24"/>
          <w:color w:val="2A2A2A"/>
        </w:rPr>
        <w:t>Required Measurements</w:t>
      </w:r>
    </w:p>
    <w:p>
      <w:pPr>
        <w:numPr>
          <w:ilvl w:val="0"/>
          <w:numId w:val="1"/>
        </w:numPr>
        <w:spacing w:after="60"/>
      </w:pPr>
      <w:r>
        <w:rPr>
          <w:sz w:val="22"/>
        </w:rPr>
        <w:t>Peak systolic velocity at each segment</w:t>
      </w:r>
    </w:p>
    <w:p>
      <w:pPr>
        <w:numPr>
          <w:ilvl w:val="0"/>
          <w:numId w:val="1"/>
        </w:numPr>
        <w:spacing w:after="60"/>
      </w:pPr>
      <w:r>
        <w:rPr>
          <w:sz w:val="22"/>
        </w:rPr>
        <w:t>Velocity ratio across any stenosis (Vr = PSVstenosis/PSVpre-stenosis)</w:t>
      </w:r>
    </w:p>
    <w:p>
      <w:pPr>
        <w:numPr>
          <w:ilvl w:val="0"/>
          <w:numId w:val="1"/>
        </w:numPr>
        <w:spacing w:after="60"/>
      </w:pPr>
      <w:r>
        <w:rPr>
          <w:sz w:val="22"/>
        </w:rPr>
        <w:t>Waveform morphology classification (triphasic, biphasic, monophasic)</w:t>
      </w:r>
    </w:p>
    <w:p>
      <w:pPr>
        <w:numPr>
          <w:ilvl w:val="0"/>
          <w:numId w:val="1"/>
        </w:numPr>
        <w:spacing w:after="60"/>
      </w:pPr>
      <w:r>
        <w:rPr>
          <w:sz w:val="22"/>
        </w:rPr>
        <w:t>Plaque characterization where present</w:t>
      </w:r>
    </w:p>
    <w:p>
      <w:r>
        <w:br w:type="page"/>
      </w:r>
    </w:p>
    <w:p>
      <w:pPr>
        <w:pStyle w:val="Heading1"/>
        <w:pBdr>
          <w:bottom w:val="single" w:sz="6" w:color="C9A856"/>
        </w:pBdr>
        <w:spacing w:before="480" w:after="240"/>
      </w:pPr>
      <w:r>
        <w:rPr>
          <w:b/>
          <w:sz w:val="36"/>
          <w:color w:val="003355"/>
        </w:rPr>
        <w:t>7. Cardiac Ultrasound Protocols</w:t>
      </w:r>
    </w:p>
    <w:p>
      <w:pPr>
        <w:pStyle w:val="Heading2"/>
        <w:spacing w:before="360" w:after="120"/>
      </w:pPr>
      <w:r>
        <w:rPr>
          <w:b/>
          <w:sz w:val="28"/>
          <w:color w:val="004D78"/>
        </w:rPr>
        <w:t>7.1 Complete Transthoracic Echocardiogram (CPT 93306)</w:t>
      </w:r>
    </w:p>
    <w:p>
      <w:pPr>
        <w:pStyle w:val="Heading3"/>
        <w:spacing w:before="240" w:after="80"/>
      </w:pPr>
      <w:r>
        <w:rPr>
          <w:b/>
          <w:sz w:val="24"/>
          <w:color w:val="2A2A2A"/>
        </w:rPr>
        <w:t>Indications</w:t>
      </w:r>
    </w:p>
    <w:p>
      <w:pPr>
        <w:numPr>
          <w:ilvl w:val="0"/>
          <w:numId w:val="1"/>
        </w:numPr>
        <w:spacing w:after="60"/>
      </w:pPr>
      <w:r>
        <w:rPr>
          <w:sz w:val="22"/>
        </w:rPr>
        <w:t>Symptoms of heart disease (chest pain, dyspnea, palpitations, syncope)</w:t>
      </w:r>
    </w:p>
    <w:p>
      <w:pPr>
        <w:numPr>
          <w:ilvl w:val="0"/>
          <w:numId w:val="1"/>
        </w:numPr>
        <w:spacing w:after="60"/>
      </w:pPr>
      <w:r>
        <w:rPr>
          <w:sz w:val="22"/>
        </w:rPr>
        <w:t>Evaluation of murmur, abnormal EKG, or known cardiac condition</w:t>
      </w:r>
    </w:p>
    <w:p>
      <w:pPr>
        <w:numPr>
          <w:ilvl w:val="0"/>
          <w:numId w:val="1"/>
        </w:numPr>
        <w:spacing w:after="60"/>
      </w:pPr>
      <w:r>
        <w:rPr>
          <w:sz w:val="22"/>
        </w:rPr>
        <w:t>Risk stratification for cardiovascular disease</w:t>
      </w:r>
    </w:p>
    <w:p>
      <w:pPr>
        <w:pStyle w:val="Heading3"/>
        <w:spacing w:before="240" w:after="80"/>
      </w:pPr>
      <w:r>
        <w:rPr>
          <w:b/>
          <w:sz w:val="24"/>
          <w:color w:val="2A2A2A"/>
        </w:rPr>
        <w:t>Patient Preparation</w:t>
      </w:r>
    </w:p>
    <w:p>
      <w:pPr>
        <w:numPr>
          <w:ilvl w:val="0"/>
          <w:numId w:val="1"/>
        </w:numPr>
        <w:spacing w:after="60"/>
      </w:pPr>
      <w:r>
        <w:rPr>
          <w:sz w:val="22"/>
        </w:rPr>
        <w:t>No special preparation required</w:t>
      </w:r>
    </w:p>
    <w:p>
      <w:pPr>
        <w:numPr>
          <w:ilvl w:val="0"/>
          <w:numId w:val="1"/>
        </w:numPr>
        <w:spacing w:after="60"/>
      </w:pPr>
      <w:r>
        <w:rPr>
          <w:sz w:val="22"/>
        </w:rPr>
        <w:t>Patient in left lateral decubitus position; supine for subcostal views</w:t>
      </w:r>
    </w:p>
    <w:p>
      <w:pPr>
        <w:numPr>
          <w:ilvl w:val="0"/>
          <w:numId w:val="1"/>
        </w:numPr>
        <w:spacing w:after="60"/>
      </w:pPr>
      <w:r>
        <w:rPr>
          <w:sz w:val="22"/>
        </w:rPr>
        <w:t>EKG leads attached for rhythm capture during acquisition</w:t>
      </w:r>
    </w:p>
    <w:p>
      <w:pPr>
        <w:pStyle w:val="Heading3"/>
        <w:spacing w:before="240" w:after="80"/>
      </w:pPr>
      <w:r>
        <w:rPr>
          <w:b/>
          <w:sz w:val="24"/>
          <w:color w:val="2A2A2A"/>
        </w:rPr>
        <w:t>Equipment</w:t>
      </w:r>
    </w:p>
    <w:p>
      <w:pPr>
        <w:numPr>
          <w:ilvl w:val="0"/>
          <w:numId w:val="1"/>
        </w:numPr>
        <w:spacing w:after="60"/>
      </w:pPr>
      <w:r>
        <w:rPr>
          <w:sz w:val="22"/>
        </w:rPr>
        <w:t>Phased array cardiac transducer (1.5–4 MHz)</w:t>
      </w:r>
    </w:p>
    <w:p>
      <w:pPr>
        <w:numPr>
          <w:ilvl w:val="0"/>
          <w:numId w:val="1"/>
        </w:numPr>
        <w:spacing w:after="60"/>
      </w:pPr>
      <w:r>
        <w:rPr>
          <w:sz w:val="22"/>
        </w:rPr>
        <w:t>Color, spectral, tissue, and continuous-wave Doppler capability</w:t>
      </w:r>
    </w:p>
    <w:p>
      <w:pPr>
        <w:pStyle w:val="Heading3"/>
        <w:spacing w:before="240" w:after="80"/>
      </w:pPr>
      <w:r>
        <w:rPr>
          <w:b/>
          <w:sz w:val="24"/>
          <w:color w:val="2A2A2A"/>
        </w:rPr>
        <w:t>Required Views and Documentation</w:t>
      </w:r>
    </w:p>
    <w:p>
      <w:pPr>
        <w:numPr>
          <w:ilvl w:val="0"/>
          <w:numId w:val="1"/>
        </w:numPr>
        <w:spacing w:after="60"/>
      </w:pPr>
      <w:r>
        <w:rPr>
          <w:sz w:val="22"/>
        </w:rPr>
        <w:t>Parasternal long-axis (PLAX) — 2D and M-mode through LV and aortic valve</w:t>
      </w:r>
    </w:p>
    <w:p>
      <w:pPr>
        <w:numPr>
          <w:ilvl w:val="0"/>
          <w:numId w:val="1"/>
        </w:numPr>
        <w:spacing w:after="60"/>
      </w:pPr>
      <w:r>
        <w:rPr>
          <w:sz w:val="22"/>
        </w:rPr>
        <w:t>Parasternal short-axis (PSAX) — at aortic valve, mitral valve, papillary muscle, and apex levels</w:t>
      </w:r>
    </w:p>
    <w:p>
      <w:pPr>
        <w:numPr>
          <w:ilvl w:val="0"/>
          <w:numId w:val="1"/>
        </w:numPr>
        <w:spacing w:after="60"/>
      </w:pPr>
      <w:r>
        <w:rPr>
          <w:sz w:val="22"/>
        </w:rPr>
        <w:t>Apical 4-chamber, 5-chamber, 2-chamber, 3-chamber views</w:t>
      </w:r>
    </w:p>
    <w:p>
      <w:pPr>
        <w:numPr>
          <w:ilvl w:val="0"/>
          <w:numId w:val="1"/>
        </w:numPr>
        <w:spacing w:after="60"/>
      </w:pPr>
      <w:r>
        <w:rPr>
          <w:sz w:val="22"/>
        </w:rPr>
        <w:t>Subcostal 4-chamber, IVC, and aorta views</w:t>
      </w:r>
    </w:p>
    <w:p>
      <w:pPr>
        <w:numPr>
          <w:ilvl w:val="0"/>
          <w:numId w:val="1"/>
        </w:numPr>
        <w:spacing w:after="60"/>
      </w:pPr>
      <w:r>
        <w:rPr>
          <w:sz w:val="22"/>
        </w:rPr>
        <w:t>Suprasternal notch view of aortic arch</w:t>
      </w:r>
    </w:p>
    <w:p>
      <w:pPr>
        <w:numPr>
          <w:ilvl w:val="0"/>
          <w:numId w:val="1"/>
        </w:numPr>
        <w:spacing w:after="60"/>
      </w:pPr>
      <w:r>
        <w:rPr>
          <w:sz w:val="22"/>
        </w:rPr>
        <w:t>Color Doppler interrogation of all four valves</w:t>
      </w:r>
    </w:p>
    <w:p>
      <w:pPr>
        <w:numPr>
          <w:ilvl w:val="0"/>
          <w:numId w:val="1"/>
        </w:numPr>
        <w:spacing w:after="60"/>
      </w:pPr>
      <w:r>
        <w:rPr>
          <w:sz w:val="22"/>
        </w:rPr>
        <w:t>Spectral Doppler of all four valves</w:t>
      </w:r>
    </w:p>
    <w:p>
      <w:pPr>
        <w:numPr>
          <w:ilvl w:val="0"/>
          <w:numId w:val="1"/>
        </w:numPr>
        <w:spacing w:after="60"/>
      </w:pPr>
      <w:r>
        <w:rPr>
          <w:sz w:val="22"/>
        </w:rPr>
        <w:t>Tissue Doppler at mitral annulus (lateral and septal)</w:t>
      </w:r>
    </w:p>
    <w:p>
      <w:pPr>
        <w:pStyle w:val="Heading3"/>
        <w:spacing w:before="240" w:after="80"/>
      </w:pPr>
      <w:r>
        <w:rPr>
          <w:b/>
          <w:sz w:val="24"/>
          <w:color w:val="2A2A2A"/>
        </w:rPr>
        <w:t>Required Measurements</w:t>
      </w:r>
    </w:p>
    <w:p>
      <w:pPr>
        <w:numPr>
          <w:ilvl w:val="0"/>
          <w:numId w:val="1"/>
        </w:numPr>
        <w:spacing w:after="60"/>
      </w:pPr>
      <w:r>
        <w:rPr>
          <w:sz w:val="22"/>
        </w:rPr>
        <w:t>LV chamber dimensions (LVIDd, LVIDs, IVSd, LVPWd)</w:t>
      </w:r>
    </w:p>
    <w:p>
      <w:pPr>
        <w:numPr>
          <w:ilvl w:val="0"/>
          <w:numId w:val="1"/>
        </w:numPr>
        <w:spacing w:after="60"/>
      </w:pPr>
      <w:r>
        <w:rPr>
          <w:sz w:val="22"/>
        </w:rPr>
        <w:t>LV ejection fraction (modified Simpson biplane preferred)</w:t>
      </w:r>
    </w:p>
    <w:p>
      <w:pPr>
        <w:numPr>
          <w:ilvl w:val="0"/>
          <w:numId w:val="1"/>
        </w:numPr>
        <w:spacing w:after="60"/>
      </w:pPr>
      <w:r>
        <w:rPr>
          <w:sz w:val="22"/>
        </w:rPr>
        <w:t>LA diameter and volume</w:t>
      </w:r>
    </w:p>
    <w:p>
      <w:pPr>
        <w:numPr>
          <w:ilvl w:val="0"/>
          <w:numId w:val="1"/>
        </w:numPr>
        <w:spacing w:after="60"/>
      </w:pPr>
      <w:r>
        <w:rPr>
          <w:sz w:val="22"/>
        </w:rPr>
        <w:t>Aortic root and ascending aorta dimensions</w:t>
      </w:r>
    </w:p>
    <w:p>
      <w:pPr>
        <w:numPr>
          <w:ilvl w:val="0"/>
          <w:numId w:val="1"/>
        </w:numPr>
        <w:spacing w:after="60"/>
      </w:pPr>
      <w:r>
        <w:rPr>
          <w:sz w:val="22"/>
        </w:rPr>
        <w:t>RV size and TAPSE</w:t>
      </w:r>
    </w:p>
    <w:p>
      <w:pPr>
        <w:numPr>
          <w:ilvl w:val="0"/>
          <w:numId w:val="1"/>
        </w:numPr>
        <w:spacing w:after="60"/>
      </w:pPr>
      <w:r>
        <w:rPr>
          <w:sz w:val="22"/>
        </w:rPr>
        <w:t>Valve gradients and regurgitation severity grading</w:t>
      </w:r>
    </w:p>
    <w:p>
      <w:pPr>
        <w:numPr>
          <w:ilvl w:val="0"/>
          <w:numId w:val="1"/>
        </w:numPr>
        <w:spacing w:after="60"/>
      </w:pPr>
      <w:r>
        <w:rPr>
          <w:sz w:val="22"/>
        </w:rPr>
        <w:t>Pulmonary artery systolic pressure estimate</w:t>
      </w:r>
    </w:p>
    <w:p>
      <w:pPr>
        <w:numPr>
          <w:ilvl w:val="0"/>
          <w:numId w:val="1"/>
        </w:numPr>
        <w:spacing w:after="60"/>
      </w:pPr>
      <w:r>
        <w:rPr>
          <w:sz w:val="22"/>
        </w:rPr>
        <w:t>IVC diameter and respiratory variation</w:t>
      </w:r>
    </w:p>
    <w:p>
      <w:pPr>
        <w:numPr>
          <w:ilvl w:val="0"/>
          <w:numId w:val="1"/>
        </w:numPr>
        <w:spacing w:after="60"/>
      </w:pPr>
      <w:r>
        <w:rPr>
          <w:sz w:val="22"/>
        </w:rPr>
        <w:t>Diastolic function parameters (E, A, E/A, E/e')</w:t>
      </w:r>
    </w:p>
    <w:p>
      <w:pPr>
        <w:pStyle w:val="Heading2"/>
        <w:spacing w:before="360" w:after="120"/>
      </w:pPr>
      <w:r>
        <w:rPr>
          <w:b/>
          <w:sz w:val="28"/>
          <w:color w:val="004D78"/>
        </w:rPr>
        <w:t>7.2 Limited Screening Echocardiogram (CPT 93308)</w:t>
      </w:r>
    </w:p>
    <w:p>
      <w:pPr>
        <w:pStyle w:val="Heading3"/>
        <w:spacing w:before="240" w:after="80"/>
      </w:pPr>
      <w:r>
        <w:rPr>
          <w:b/>
          <w:sz w:val="24"/>
          <w:color w:val="2A2A2A"/>
        </w:rPr>
        <w:t>Indications</w:t>
      </w:r>
    </w:p>
    <w:p>
      <w:pPr>
        <w:numPr>
          <w:ilvl w:val="0"/>
          <w:numId w:val="1"/>
        </w:numPr>
        <w:spacing w:after="60"/>
      </w:pPr>
      <w:r>
        <w:rPr>
          <w:sz w:val="22"/>
        </w:rPr>
        <w:t>Cardiovascular screening as part of preventative health package</w:t>
      </w:r>
    </w:p>
    <w:p>
      <w:pPr>
        <w:numPr>
          <w:ilvl w:val="0"/>
          <w:numId w:val="1"/>
        </w:numPr>
        <w:spacing w:after="60"/>
      </w:pPr>
      <w:r>
        <w:rPr>
          <w:sz w:val="22"/>
        </w:rPr>
        <w:t>Focused assessment of ejection fraction and valve function</w:t>
      </w:r>
    </w:p>
    <w:p>
      <w:pPr>
        <w:pStyle w:val="Heading3"/>
        <w:spacing w:before="240" w:after="80"/>
      </w:pPr>
      <w:r>
        <w:rPr>
          <w:b/>
          <w:sz w:val="24"/>
          <w:color w:val="2A2A2A"/>
        </w:rPr>
        <w:t>Required Views and Documentation</w:t>
      </w:r>
    </w:p>
    <w:p>
      <w:pPr>
        <w:numPr>
          <w:ilvl w:val="0"/>
          <w:numId w:val="1"/>
        </w:numPr>
        <w:spacing w:after="60"/>
      </w:pPr>
      <w:r>
        <w:rPr>
          <w:sz w:val="22"/>
        </w:rPr>
        <w:t>Parasternal long-axis 2D</w:t>
      </w:r>
    </w:p>
    <w:p>
      <w:pPr>
        <w:numPr>
          <w:ilvl w:val="0"/>
          <w:numId w:val="1"/>
        </w:numPr>
        <w:spacing w:after="60"/>
      </w:pPr>
      <w:r>
        <w:rPr>
          <w:sz w:val="22"/>
        </w:rPr>
        <w:t>Parasternal short-axis at papillary muscle level</w:t>
      </w:r>
    </w:p>
    <w:p>
      <w:pPr>
        <w:numPr>
          <w:ilvl w:val="0"/>
          <w:numId w:val="1"/>
        </w:numPr>
        <w:spacing w:after="60"/>
      </w:pPr>
      <w:r>
        <w:rPr>
          <w:sz w:val="22"/>
        </w:rPr>
        <w:t>Apical 4-chamber 2D</w:t>
      </w:r>
    </w:p>
    <w:p>
      <w:pPr>
        <w:numPr>
          <w:ilvl w:val="0"/>
          <w:numId w:val="1"/>
        </w:numPr>
        <w:spacing w:after="60"/>
      </w:pPr>
      <w:r>
        <w:rPr>
          <w:sz w:val="22"/>
        </w:rPr>
        <w:t>Color Doppler of all four valves (screening)</w:t>
      </w:r>
    </w:p>
    <w:p>
      <w:pPr>
        <w:numPr>
          <w:ilvl w:val="0"/>
          <w:numId w:val="1"/>
        </w:numPr>
        <w:spacing w:after="60"/>
      </w:pPr>
      <w:r>
        <w:rPr>
          <w:sz w:val="22"/>
        </w:rPr>
        <w:t>Ejection fraction estimate</w:t>
      </w:r>
    </w:p>
    <w:p>
      <w:pPr>
        <w:pStyle w:val="Heading3"/>
        <w:spacing w:before="240" w:after="80"/>
      </w:pPr>
      <w:r>
        <w:rPr>
          <w:b/>
          <w:sz w:val="24"/>
          <w:color w:val="2A2A2A"/>
        </w:rPr>
        <w:t>Reporting Notes</w:t>
      </w:r>
    </w:p>
    <w:p>
      <w:pPr>
        <w:spacing w:after="120" w:line="276" w:lineRule="auto"/>
      </w:pPr>
      <w:r>
        <w:rPr>
          <w:sz w:val="22"/>
        </w:rPr>
        <w:t>Reports for limited screening echo include the following or equivalent disclosure:</w:t>
      </w:r>
    </w:p>
    <w:p>
      <w:pPr>
        <w:ind w:left="720" w:right="720"/>
        <w:spacing w:before="120" w:after="120"/>
        <w:pBdr>
          <w:left w:val="single" w:sz="12" w:color="C9A856"/>
        </w:pBdr>
      </w:pPr>
      <w:r>
        <w:rPr>
          <w:i/>
          <w:sz w:val="22"/>
          <w:color w:val="5C5C5C"/>
        </w:rPr>
        <w:t>"This is a limited screening echocardiogram intended to assess basic cardiac structure, ejection fraction, and valve function. This is not a complete diagnostic echocardiogram. If clinical concern persists or specific findings warrant further evaluation, a complete diagnostic echocardiogram (CPT 93306) is recommended."</w:t>
      </w:r>
    </w:p>
    <w:p>
      <w:r>
        <w:br w:type="page"/>
      </w:r>
    </w:p>
    <w:p>
      <w:pPr>
        <w:pStyle w:val="Heading1"/>
        <w:pBdr>
          <w:bottom w:val="single" w:sz="6" w:color="C9A856"/>
        </w:pBdr>
        <w:spacing w:before="480" w:after="240"/>
      </w:pPr>
      <w:r>
        <w:rPr>
          <w:b/>
          <w:sz w:val="36"/>
          <w:color w:val="003355"/>
        </w:rPr>
        <w:t>8. Abdominal Ultrasound Protocols</w:t>
      </w:r>
    </w:p>
    <w:p>
      <w:pPr>
        <w:pStyle w:val="Heading2"/>
        <w:spacing w:before="360" w:after="120"/>
      </w:pPr>
      <w:r>
        <w:rPr>
          <w:b/>
          <w:sz w:val="28"/>
          <w:color w:val="004D78"/>
        </w:rPr>
        <w:t>8.1 Complete Abdominal Ultrasound (CPT 76700)</w:t>
      </w:r>
    </w:p>
    <w:p>
      <w:pPr>
        <w:pStyle w:val="Heading3"/>
        <w:spacing w:before="240" w:after="80"/>
      </w:pPr>
      <w:r>
        <w:rPr>
          <w:b/>
          <w:sz w:val="24"/>
          <w:color w:val="2A2A2A"/>
        </w:rPr>
        <w:t>Indications</w:t>
      </w:r>
    </w:p>
    <w:p>
      <w:pPr>
        <w:numPr>
          <w:ilvl w:val="0"/>
          <w:numId w:val="1"/>
        </w:numPr>
        <w:spacing w:after="60"/>
      </w:pPr>
      <w:r>
        <w:rPr>
          <w:sz w:val="22"/>
        </w:rPr>
        <w:t>Abdominal pain</w:t>
      </w:r>
    </w:p>
    <w:p>
      <w:pPr>
        <w:numPr>
          <w:ilvl w:val="0"/>
          <w:numId w:val="1"/>
        </w:numPr>
        <w:spacing w:after="60"/>
      </w:pPr>
      <w:r>
        <w:rPr>
          <w:sz w:val="22"/>
        </w:rPr>
        <w:t>Abnormal liver function tests, hepatomegaly</w:t>
      </w:r>
    </w:p>
    <w:p>
      <w:pPr>
        <w:numPr>
          <w:ilvl w:val="0"/>
          <w:numId w:val="1"/>
        </w:numPr>
        <w:spacing w:after="60"/>
      </w:pPr>
      <w:r>
        <w:rPr>
          <w:sz w:val="22"/>
        </w:rPr>
        <w:t>Suspected gallbladder disease</w:t>
      </w:r>
    </w:p>
    <w:p>
      <w:pPr>
        <w:numPr>
          <w:ilvl w:val="0"/>
          <w:numId w:val="1"/>
        </w:numPr>
        <w:spacing w:after="60"/>
      </w:pPr>
      <w:r>
        <w:rPr>
          <w:sz w:val="22"/>
        </w:rPr>
        <w:t>Evaluation of mass or other clinical concern</w:t>
      </w:r>
    </w:p>
    <w:p>
      <w:pPr>
        <w:pStyle w:val="Heading3"/>
        <w:spacing w:before="240" w:after="80"/>
      </w:pPr>
      <w:r>
        <w:rPr>
          <w:b/>
          <w:sz w:val="24"/>
          <w:color w:val="2A2A2A"/>
        </w:rPr>
        <w:t>Patient Preparation</w:t>
      </w:r>
    </w:p>
    <w:p>
      <w:pPr>
        <w:numPr>
          <w:ilvl w:val="0"/>
          <w:numId w:val="1"/>
        </w:numPr>
        <w:spacing w:after="60"/>
      </w:pPr>
      <w:r>
        <w:rPr>
          <w:sz w:val="22"/>
        </w:rPr>
        <w:t>Fasting 6–8 hours (water permitted)</w:t>
      </w:r>
    </w:p>
    <w:p>
      <w:pPr>
        <w:numPr>
          <w:ilvl w:val="0"/>
          <w:numId w:val="1"/>
        </w:numPr>
        <w:spacing w:after="60"/>
      </w:pPr>
      <w:r>
        <w:rPr>
          <w:sz w:val="22"/>
        </w:rPr>
        <w:t>No carbonated beverages 24 hours prior</w:t>
      </w:r>
    </w:p>
    <w:p>
      <w:pPr>
        <w:numPr>
          <w:ilvl w:val="0"/>
          <w:numId w:val="1"/>
        </w:numPr>
        <w:spacing w:after="60"/>
      </w:pPr>
      <w:r>
        <w:rPr>
          <w:sz w:val="22"/>
        </w:rPr>
        <w:t>Patient supine; may require left lateral decubitus for gallbladder views</w:t>
      </w:r>
    </w:p>
    <w:p>
      <w:pPr>
        <w:pStyle w:val="Heading3"/>
        <w:spacing w:before="240" w:after="80"/>
      </w:pPr>
      <w:r>
        <w:rPr>
          <w:b/>
          <w:sz w:val="24"/>
          <w:color w:val="2A2A2A"/>
        </w:rPr>
        <w:t>Required Documentation</w:t>
      </w:r>
    </w:p>
    <w:p>
      <w:pPr>
        <w:spacing w:after="120" w:line="276" w:lineRule="auto"/>
      </w:pPr>
      <w:r>
        <w:rPr>
          <w:sz w:val="22"/>
        </w:rPr>
        <w:t>Liver:</w:t>
      </w:r>
    </w:p>
    <w:p>
      <w:pPr>
        <w:numPr>
          <w:ilvl w:val="0"/>
          <w:numId w:val="1"/>
        </w:numPr>
        <w:spacing w:after="60"/>
      </w:pPr>
      <w:r>
        <w:rPr>
          <w:sz w:val="22"/>
        </w:rPr>
        <w:t>Longitudinal and transverse sweeps through entire liver</w:t>
      </w:r>
    </w:p>
    <w:p>
      <w:pPr>
        <w:numPr>
          <w:ilvl w:val="0"/>
          <w:numId w:val="1"/>
        </w:numPr>
        <w:spacing w:after="60"/>
      </w:pPr>
      <w:r>
        <w:rPr>
          <w:sz w:val="22"/>
        </w:rPr>
        <w:t>Right lobe — sagittal and transverse</w:t>
      </w:r>
    </w:p>
    <w:p>
      <w:pPr>
        <w:numPr>
          <w:ilvl w:val="0"/>
          <w:numId w:val="1"/>
        </w:numPr>
        <w:spacing w:after="60"/>
      </w:pPr>
      <w:r>
        <w:rPr>
          <w:sz w:val="22"/>
        </w:rPr>
        <w:t>Left lobe — sagittal and transverse</w:t>
      </w:r>
    </w:p>
    <w:p>
      <w:pPr>
        <w:numPr>
          <w:ilvl w:val="0"/>
          <w:numId w:val="1"/>
        </w:numPr>
        <w:spacing w:after="60"/>
      </w:pPr>
      <w:r>
        <w:rPr>
          <w:sz w:val="22"/>
        </w:rPr>
        <w:t>Hepatic veins, portal vein, IVC</w:t>
      </w:r>
    </w:p>
    <w:p>
      <w:pPr>
        <w:numPr>
          <w:ilvl w:val="0"/>
          <w:numId w:val="1"/>
        </w:numPr>
        <w:spacing w:after="60"/>
      </w:pPr>
      <w:r>
        <w:rPr>
          <w:sz w:val="22"/>
        </w:rPr>
        <w:t>Common bile duct measurement</w:t>
      </w:r>
    </w:p>
    <w:p>
      <w:pPr>
        <w:numPr>
          <w:ilvl w:val="0"/>
          <w:numId w:val="1"/>
        </w:numPr>
        <w:spacing w:after="60"/>
      </w:pPr>
      <w:r>
        <w:rPr>
          <w:sz w:val="22"/>
        </w:rPr>
        <w:t>Maximum liver dimension</w:t>
      </w:r>
    </w:p>
    <w:p>
      <w:pPr>
        <w:spacing w:after="120" w:line="276" w:lineRule="auto"/>
      </w:pPr>
      <w:r>
        <w:rPr>
          <w:sz w:val="22"/>
        </w:rPr>
        <w:t>Gallbladder:</w:t>
      </w:r>
    </w:p>
    <w:p>
      <w:pPr>
        <w:numPr>
          <w:ilvl w:val="0"/>
          <w:numId w:val="1"/>
        </w:numPr>
        <w:spacing w:after="60"/>
      </w:pPr>
      <w:r>
        <w:rPr>
          <w:sz w:val="22"/>
        </w:rPr>
        <w:t>Long axis and short axis</w:t>
      </w:r>
    </w:p>
    <w:p>
      <w:pPr>
        <w:numPr>
          <w:ilvl w:val="0"/>
          <w:numId w:val="1"/>
        </w:numPr>
        <w:spacing w:after="60"/>
      </w:pPr>
      <w:r>
        <w:rPr>
          <w:sz w:val="22"/>
        </w:rPr>
        <w:t>Wall thickness measurement</w:t>
      </w:r>
    </w:p>
    <w:p>
      <w:pPr>
        <w:numPr>
          <w:ilvl w:val="0"/>
          <w:numId w:val="1"/>
        </w:numPr>
        <w:spacing w:after="60"/>
      </w:pPr>
      <w:r>
        <w:rPr>
          <w:sz w:val="22"/>
        </w:rPr>
        <w:t>Documentation of contents (stones, sludge, polyps)</w:t>
      </w:r>
    </w:p>
    <w:p>
      <w:pPr>
        <w:numPr>
          <w:ilvl w:val="0"/>
          <w:numId w:val="1"/>
        </w:numPr>
        <w:spacing w:after="60"/>
      </w:pPr>
      <w:r>
        <w:rPr>
          <w:sz w:val="22"/>
        </w:rPr>
        <w:t>Pericholecystic fluid assessment</w:t>
      </w:r>
    </w:p>
    <w:p>
      <w:pPr>
        <w:spacing w:after="120" w:line="276" w:lineRule="auto"/>
      </w:pPr>
      <w:r>
        <w:rPr>
          <w:sz w:val="22"/>
        </w:rPr>
        <w:t>Pancreas:</w:t>
      </w:r>
    </w:p>
    <w:p>
      <w:pPr>
        <w:numPr>
          <w:ilvl w:val="0"/>
          <w:numId w:val="1"/>
        </w:numPr>
        <w:spacing w:after="60"/>
      </w:pPr>
      <w:r>
        <w:rPr>
          <w:sz w:val="22"/>
        </w:rPr>
        <w:t>Head, body, and tail visualization</w:t>
      </w:r>
    </w:p>
    <w:p>
      <w:pPr>
        <w:numPr>
          <w:ilvl w:val="0"/>
          <w:numId w:val="1"/>
        </w:numPr>
        <w:spacing w:after="60"/>
      </w:pPr>
      <w:r>
        <w:rPr>
          <w:sz w:val="22"/>
        </w:rPr>
        <w:t>Pancreatic duct measurement if visible</w:t>
      </w:r>
    </w:p>
    <w:p>
      <w:pPr>
        <w:spacing w:after="120" w:line="276" w:lineRule="auto"/>
      </w:pPr>
      <w:r>
        <w:rPr>
          <w:sz w:val="22"/>
        </w:rPr>
        <w:t>Spleen:</w:t>
      </w:r>
    </w:p>
    <w:p>
      <w:pPr>
        <w:numPr>
          <w:ilvl w:val="0"/>
          <w:numId w:val="1"/>
        </w:numPr>
        <w:spacing w:after="60"/>
      </w:pPr>
      <w:r>
        <w:rPr>
          <w:sz w:val="22"/>
        </w:rPr>
        <w:t>Longitudinal and transverse views</w:t>
      </w:r>
    </w:p>
    <w:p>
      <w:pPr>
        <w:numPr>
          <w:ilvl w:val="0"/>
          <w:numId w:val="1"/>
        </w:numPr>
        <w:spacing w:after="60"/>
      </w:pPr>
      <w:r>
        <w:rPr>
          <w:sz w:val="22"/>
        </w:rPr>
        <w:t>Maximum dimension</w:t>
      </w:r>
    </w:p>
    <w:p>
      <w:pPr>
        <w:spacing w:after="120" w:line="276" w:lineRule="auto"/>
      </w:pPr>
      <w:r>
        <w:rPr>
          <w:sz w:val="22"/>
        </w:rPr>
        <w:t>Kidneys:</w:t>
      </w:r>
    </w:p>
    <w:p>
      <w:pPr>
        <w:numPr>
          <w:ilvl w:val="0"/>
          <w:numId w:val="1"/>
        </w:numPr>
        <w:spacing w:after="60"/>
      </w:pPr>
      <w:r>
        <w:rPr>
          <w:sz w:val="22"/>
        </w:rPr>
        <w:t>Longitudinal and transverse, each kidney</w:t>
      </w:r>
    </w:p>
    <w:p>
      <w:pPr>
        <w:numPr>
          <w:ilvl w:val="0"/>
          <w:numId w:val="1"/>
        </w:numPr>
        <w:spacing w:after="60"/>
      </w:pPr>
      <w:r>
        <w:rPr>
          <w:sz w:val="22"/>
        </w:rPr>
        <w:t>Length measurement, each kidney</w:t>
      </w:r>
    </w:p>
    <w:p>
      <w:pPr>
        <w:numPr>
          <w:ilvl w:val="0"/>
          <w:numId w:val="1"/>
        </w:numPr>
        <w:spacing w:after="60"/>
      </w:pPr>
      <w:r>
        <w:rPr>
          <w:sz w:val="22"/>
        </w:rPr>
        <w:t>Cortical evaluation, collecting system</w:t>
      </w:r>
    </w:p>
    <w:p>
      <w:pPr>
        <w:spacing w:after="120" w:line="276" w:lineRule="auto"/>
      </w:pPr>
      <w:r>
        <w:rPr>
          <w:sz w:val="22"/>
        </w:rPr>
        <w:t>Aorta and IVC:</w:t>
      </w:r>
    </w:p>
    <w:p>
      <w:pPr>
        <w:numPr>
          <w:ilvl w:val="0"/>
          <w:numId w:val="1"/>
        </w:numPr>
        <w:spacing w:after="60"/>
      </w:pPr>
      <w:r>
        <w:rPr>
          <w:sz w:val="22"/>
        </w:rPr>
        <w:t>Longitudinal of upper abdominal aorta</w:t>
      </w:r>
    </w:p>
    <w:p>
      <w:pPr>
        <w:numPr>
          <w:ilvl w:val="0"/>
          <w:numId w:val="1"/>
        </w:numPr>
        <w:spacing w:after="60"/>
      </w:pPr>
      <w:r>
        <w:rPr>
          <w:sz w:val="22"/>
        </w:rPr>
        <w:t>IVC visualization</w:t>
      </w:r>
    </w:p>
    <w:p>
      <w:pPr>
        <w:pStyle w:val="Heading2"/>
        <w:spacing w:before="360" w:after="120"/>
      </w:pPr>
      <w:r>
        <w:rPr>
          <w:b/>
          <w:sz w:val="28"/>
          <w:color w:val="004D78"/>
        </w:rPr>
        <w:t>8.2 Limited Abdominal Ultrasound (CPT 76705)</w:t>
      </w:r>
    </w:p>
    <w:p>
      <w:pPr>
        <w:spacing w:after="120" w:line="276" w:lineRule="auto"/>
      </w:pPr>
      <w:r>
        <w:rPr>
          <w:sz w:val="22"/>
        </w:rPr>
        <w:t>Used when clinical question is focused on a single organ system. Documentation includes only the targeted area with sufficient images to address the indication. Report explicitly states "limited" and the focused area.</w:t>
      </w:r>
    </w:p>
    <w:p>
      <w:pPr>
        <w:pStyle w:val="Heading2"/>
        <w:spacing w:before="360" w:after="120"/>
      </w:pPr>
      <w:r>
        <w:rPr>
          <w:b/>
          <w:sz w:val="28"/>
          <w:color w:val="004D78"/>
        </w:rPr>
        <w:t>8.3 Renal Ultrasound (CPT 76770 Retroperitoneal Complete / 76775 Limited)</w:t>
      </w:r>
    </w:p>
    <w:p>
      <w:pPr>
        <w:pStyle w:val="Heading3"/>
        <w:spacing w:before="240" w:after="80"/>
      </w:pPr>
      <w:r>
        <w:rPr>
          <w:b/>
          <w:sz w:val="24"/>
          <w:color w:val="2A2A2A"/>
        </w:rPr>
        <w:t>Indications</w:t>
      </w:r>
    </w:p>
    <w:p>
      <w:pPr>
        <w:numPr>
          <w:ilvl w:val="0"/>
          <w:numId w:val="1"/>
        </w:numPr>
        <w:spacing w:after="60"/>
      </w:pPr>
      <w:r>
        <w:rPr>
          <w:sz w:val="22"/>
        </w:rPr>
        <w:t>Hematuria, suspected stones, flank pain</w:t>
      </w:r>
    </w:p>
    <w:p>
      <w:pPr>
        <w:numPr>
          <w:ilvl w:val="0"/>
          <w:numId w:val="1"/>
        </w:numPr>
        <w:spacing w:after="60"/>
      </w:pPr>
      <w:r>
        <w:rPr>
          <w:sz w:val="22"/>
        </w:rPr>
        <w:t>Elevated creatinine or abnormal renal function</w:t>
      </w:r>
    </w:p>
    <w:p>
      <w:pPr>
        <w:numPr>
          <w:ilvl w:val="0"/>
          <w:numId w:val="1"/>
        </w:numPr>
        <w:spacing w:after="60"/>
      </w:pPr>
      <w:r>
        <w:rPr>
          <w:sz w:val="22"/>
        </w:rPr>
        <w:t>Hypertension workup, family history of polycystic kidney disease</w:t>
      </w:r>
    </w:p>
    <w:p>
      <w:pPr>
        <w:pStyle w:val="Heading3"/>
        <w:spacing w:before="240" w:after="80"/>
      </w:pPr>
      <w:r>
        <w:rPr>
          <w:b/>
          <w:sz w:val="24"/>
          <w:color w:val="2A2A2A"/>
        </w:rPr>
        <w:t>Patient Preparation</w:t>
      </w:r>
    </w:p>
    <w:p>
      <w:pPr>
        <w:numPr>
          <w:ilvl w:val="0"/>
          <w:numId w:val="1"/>
        </w:numPr>
        <w:spacing w:after="60"/>
      </w:pPr>
      <w:r>
        <w:rPr>
          <w:sz w:val="22"/>
        </w:rPr>
        <w:t>Hydration encouraged (drink 16–24 oz water 30–45 min before exam)</w:t>
      </w:r>
    </w:p>
    <w:p>
      <w:pPr>
        <w:numPr>
          <w:ilvl w:val="0"/>
          <w:numId w:val="1"/>
        </w:numPr>
        <w:spacing w:after="60"/>
      </w:pPr>
      <w:r>
        <w:rPr>
          <w:sz w:val="22"/>
        </w:rPr>
        <w:t>Patient should not empty bladder prior to scan if bladder assessment is part of study</w:t>
      </w:r>
    </w:p>
    <w:p>
      <w:pPr>
        <w:pStyle w:val="Heading3"/>
        <w:spacing w:before="240" w:after="80"/>
      </w:pPr>
      <w:r>
        <w:rPr>
          <w:b/>
          <w:sz w:val="24"/>
          <w:color w:val="2A2A2A"/>
        </w:rPr>
        <w:t>Required Documentation — Each Kidney</w:t>
      </w:r>
    </w:p>
    <w:p>
      <w:pPr>
        <w:numPr>
          <w:ilvl w:val="0"/>
          <w:numId w:val="1"/>
        </w:numPr>
        <w:spacing w:after="60"/>
      </w:pPr>
      <w:r>
        <w:rPr>
          <w:sz w:val="22"/>
        </w:rPr>
        <w:t>Longitudinal images — upper, mid, lower pole</w:t>
      </w:r>
    </w:p>
    <w:p>
      <w:pPr>
        <w:numPr>
          <w:ilvl w:val="0"/>
          <w:numId w:val="1"/>
        </w:numPr>
        <w:spacing w:after="60"/>
      </w:pPr>
      <w:r>
        <w:rPr>
          <w:sz w:val="22"/>
        </w:rPr>
        <w:t>Transverse images — upper, mid, lower pole</w:t>
      </w:r>
    </w:p>
    <w:p>
      <w:pPr>
        <w:numPr>
          <w:ilvl w:val="0"/>
          <w:numId w:val="1"/>
        </w:numPr>
        <w:spacing w:after="60"/>
      </w:pPr>
      <w:r>
        <w:rPr>
          <w:sz w:val="22"/>
        </w:rPr>
        <w:t>Maximum length measurement</w:t>
      </w:r>
    </w:p>
    <w:p>
      <w:pPr>
        <w:numPr>
          <w:ilvl w:val="0"/>
          <w:numId w:val="1"/>
        </w:numPr>
        <w:spacing w:after="60"/>
      </w:pPr>
      <w:r>
        <w:rPr>
          <w:sz w:val="22"/>
        </w:rPr>
        <w:t>Cortical thickness and echogenicity</w:t>
      </w:r>
    </w:p>
    <w:p>
      <w:pPr>
        <w:numPr>
          <w:ilvl w:val="0"/>
          <w:numId w:val="1"/>
        </w:numPr>
        <w:spacing w:after="60"/>
      </w:pPr>
      <w:r>
        <w:rPr>
          <w:sz w:val="22"/>
        </w:rPr>
        <w:t>Collecting system (presence/absence of hydronephrosis)</w:t>
      </w:r>
    </w:p>
    <w:p>
      <w:pPr>
        <w:numPr>
          <w:ilvl w:val="0"/>
          <w:numId w:val="1"/>
        </w:numPr>
        <w:spacing w:after="60"/>
      </w:pPr>
      <w:r>
        <w:rPr>
          <w:sz w:val="22"/>
        </w:rPr>
        <w:t>Any cysts, stones, masses (with measurements)</w:t>
      </w:r>
    </w:p>
    <w:p>
      <w:pPr>
        <w:numPr>
          <w:ilvl w:val="0"/>
          <w:numId w:val="1"/>
        </w:numPr>
        <w:spacing w:after="60"/>
      </w:pPr>
      <w:r>
        <w:rPr>
          <w:sz w:val="22"/>
        </w:rPr>
        <w:t>Color Doppler of renal vessels when indicated</w:t>
      </w:r>
    </w:p>
    <w:p>
      <w:pPr>
        <w:pStyle w:val="Heading3"/>
        <w:spacing w:before="240" w:after="80"/>
      </w:pPr>
      <w:r>
        <w:rPr>
          <w:b/>
          <w:sz w:val="24"/>
          <w:color w:val="2A2A2A"/>
        </w:rPr>
        <w:t>Bladder (when part of study)</w:t>
      </w:r>
    </w:p>
    <w:p>
      <w:pPr>
        <w:numPr>
          <w:ilvl w:val="0"/>
          <w:numId w:val="1"/>
        </w:numPr>
        <w:spacing w:after="60"/>
      </w:pPr>
      <w:r>
        <w:rPr>
          <w:sz w:val="22"/>
        </w:rPr>
        <w:t>Pre-void volume measurement</w:t>
      </w:r>
    </w:p>
    <w:p>
      <w:pPr>
        <w:numPr>
          <w:ilvl w:val="0"/>
          <w:numId w:val="1"/>
        </w:numPr>
        <w:spacing w:after="60"/>
      </w:pPr>
      <w:r>
        <w:rPr>
          <w:sz w:val="22"/>
        </w:rPr>
        <w:t>Wall evaluation</w:t>
      </w:r>
    </w:p>
    <w:p>
      <w:pPr>
        <w:numPr>
          <w:ilvl w:val="0"/>
          <w:numId w:val="1"/>
        </w:numPr>
        <w:spacing w:after="60"/>
      </w:pPr>
      <w:r>
        <w:rPr>
          <w:sz w:val="22"/>
        </w:rPr>
        <w:t>Post-void residual measurement</w:t>
      </w:r>
    </w:p>
    <w:p>
      <w:r>
        <w:br w:type="page"/>
      </w:r>
    </w:p>
    <w:p>
      <w:pPr>
        <w:pStyle w:val="Heading1"/>
        <w:pBdr>
          <w:bottom w:val="single" w:sz="6" w:color="C9A856"/>
        </w:pBdr>
        <w:spacing w:before="480" w:after="240"/>
      </w:pPr>
      <w:r>
        <w:rPr>
          <w:b/>
          <w:sz w:val="36"/>
          <w:color w:val="003355"/>
        </w:rPr>
        <w:t>9. Small Parts Protocols</w:t>
      </w:r>
    </w:p>
    <w:p>
      <w:pPr>
        <w:pStyle w:val="Heading2"/>
        <w:spacing w:before="360" w:after="120"/>
      </w:pPr>
      <w:r>
        <w:rPr>
          <w:b/>
          <w:sz w:val="28"/>
          <w:color w:val="004D78"/>
        </w:rPr>
        <w:t>9.1 Thyroid Ultrasound (CPT 76536)</w:t>
      </w:r>
    </w:p>
    <w:p>
      <w:pPr>
        <w:pStyle w:val="Heading3"/>
        <w:spacing w:before="240" w:after="80"/>
      </w:pPr>
      <w:r>
        <w:rPr>
          <w:b/>
          <w:sz w:val="24"/>
          <w:color w:val="2A2A2A"/>
        </w:rPr>
        <w:t>Indications</w:t>
      </w:r>
    </w:p>
    <w:p>
      <w:pPr>
        <w:numPr>
          <w:ilvl w:val="0"/>
          <w:numId w:val="1"/>
        </w:numPr>
        <w:spacing w:after="60"/>
      </w:pPr>
      <w:r>
        <w:rPr>
          <w:sz w:val="22"/>
        </w:rPr>
        <w:t>Palpable nodule, neck mass</w:t>
      </w:r>
    </w:p>
    <w:p>
      <w:pPr>
        <w:numPr>
          <w:ilvl w:val="0"/>
          <w:numId w:val="1"/>
        </w:numPr>
        <w:spacing w:after="60"/>
      </w:pPr>
      <w:r>
        <w:rPr>
          <w:sz w:val="22"/>
        </w:rPr>
        <w:t>Abnormal thyroid function tests</w:t>
      </w:r>
    </w:p>
    <w:p>
      <w:pPr>
        <w:numPr>
          <w:ilvl w:val="0"/>
          <w:numId w:val="1"/>
        </w:numPr>
        <w:spacing w:after="60"/>
      </w:pPr>
      <w:r>
        <w:rPr>
          <w:sz w:val="22"/>
        </w:rPr>
        <w:t>Follow-up of known thyroid disease</w:t>
      </w:r>
    </w:p>
    <w:p>
      <w:pPr>
        <w:numPr>
          <w:ilvl w:val="0"/>
          <w:numId w:val="1"/>
        </w:numPr>
        <w:spacing w:after="60"/>
      </w:pPr>
      <w:r>
        <w:rPr>
          <w:sz w:val="22"/>
        </w:rPr>
        <w:t>Family history of thyroid cancer</w:t>
      </w:r>
    </w:p>
    <w:p>
      <w:pPr>
        <w:pStyle w:val="Heading3"/>
        <w:spacing w:before="240" w:after="80"/>
      </w:pPr>
      <w:r>
        <w:rPr>
          <w:b/>
          <w:sz w:val="24"/>
          <w:color w:val="2A2A2A"/>
        </w:rPr>
        <w:t>Patient Preparation</w:t>
      </w:r>
    </w:p>
    <w:p>
      <w:pPr>
        <w:numPr>
          <w:ilvl w:val="0"/>
          <w:numId w:val="1"/>
        </w:numPr>
        <w:spacing w:after="60"/>
      </w:pPr>
      <w:r>
        <w:rPr>
          <w:sz w:val="22"/>
        </w:rPr>
        <w:t>No special preparation</w:t>
      </w:r>
    </w:p>
    <w:p>
      <w:pPr>
        <w:numPr>
          <w:ilvl w:val="0"/>
          <w:numId w:val="1"/>
        </w:numPr>
        <w:spacing w:after="60"/>
      </w:pPr>
      <w:r>
        <w:rPr>
          <w:sz w:val="22"/>
        </w:rPr>
        <w:t>Patient supine with neck hyperextended</w:t>
      </w:r>
    </w:p>
    <w:p>
      <w:pPr>
        <w:numPr>
          <w:ilvl w:val="0"/>
          <w:numId w:val="1"/>
        </w:numPr>
        <w:spacing w:after="60"/>
      </w:pPr>
      <w:r>
        <w:rPr>
          <w:sz w:val="22"/>
        </w:rPr>
        <w:t>Pillow under shoulders for optimal positioning</w:t>
      </w:r>
    </w:p>
    <w:p>
      <w:pPr>
        <w:pStyle w:val="Heading3"/>
        <w:spacing w:before="240" w:after="80"/>
      </w:pPr>
      <w:r>
        <w:rPr>
          <w:b/>
          <w:sz w:val="24"/>
          <w:color w:val="2A2A2A"/>
        </w:rPr>
        <w:t>Equipment</w:t>
      </w:r>
    </w:p>
    <w:p>
      <w:pPr>
        <w:numPr>
          <w:ilvl w:val="0"/>
          <w:numId w:val="1"/>
        </w:numPr>
        <w:spacing w:after="60"/>
      </w:pPr>
      <w:r>
        <w:rPr>
          <w:sz w:val="22"/>
        </w:rPr>
        <w:t>High-frequency linear transducer (7–15 MHz)</w:t>
      </w:r>
    </w:p>
    <w:p>
      <w:pPr>
        <w:pStyle w:val="Heading3"/>
        <w:spacing w:before="240" w:after="80"/>
      </w:pPr>
      <w:r>
        <w:rPr>
          <w:b/>
          <w:sz w:val="24"/>
          <w:color w:val="2A2A2A"/>
        </w:rPr>
        <w:t>Required Documentation</w:t>
      </w:r>
    </w:p>
    <w:p>
      <w:pPr>
        <w:numPr>
          <w:ilvl w:val="0"/>
          <w:numId w:val="1"/>
        </w:numPr>
        <w:spacing w:after="60"/>
      </w:pPr>
      <w:r>
        <w:rPr>
          <w:sz w:val="22"/>
        </w:rPr>
        <w:t>Right lobe — longitudinal upper, mid, lower</w:t>
      </w:r>
    </w:p>
    <w:p>
      <w:pPr>
        <w:numPr>
          <w:ilvl w:val="0"/>
          <w:numId w:val="1"/>
        </w:numPr>
        <w:spacing w:after="60"/>
      </w:pPr>
      <w:r>
        <w:rPr>
          <w:sz w:val="22"/>
        </w:rPr>
        <w:t>Right lobe — transverse upper, mid, lower</w:t>
      </w:r>
    </w:p>
    <w:p>
      <w:pPr>
        <w:numPr>
          <w:ilvl w:val="0"/>
          <w:numId w:val="1"/>
        </w:numPr>
        <w:spacing w:after="60"/>
      </w:pPr>
      <w:r>
        <w:rPr>
          <w:sz w:val="22"/>
        </w:rPr>
        <w:t>Left lobe — longitudinal upper, mid, lower</w:t>
      </w:r>
    </w:p>
    <w:p>
      <w:pPr>
        <w:numPr>
          <w:ilvl w:val="0"/>
          <w:numId w:val="1"/>
        </w:numPr>
        <w:spacing w:after="60"/>
      </w:pPr>
      <w:r>
        <w:rPr>
          <w:sz w:val="22"/>
        </w:rPr>
        <w:t>Left lobe — transverse upper, mid, lower</w:t>
      </w:r>
    </w:p>
    <w:p>
      <w:pPr>
        <w:numPr>
          <w:ilvl w:val="0"/>
          <w:numId w:val="1"/>
        </w:numPr>
        <w:spacing w:after="60"/>
      </w:pPr>
      <w:r>
        <w:rPr>
          <w:sz w:val="22"/>
        </w:rPr>
        <w:t>Isthmus — transverse</w:t>
      </w:r>
    </w:p>
    <w:p>
      <w:pPr>
        <w:numPr>
          <w:ilvl w:val="0"/>
          <w:numId w:val="1"/>
        </w:numPr>
        <w:spacing w:after="60"/>
      </w:pPr>
      <w:r>
        <w:rPr>
          <w:sz w:val="22"/>
        </w:rPr>
        <w:t>Bilateral cervical lymph node survey (levels II–VI)</w:t>
      </w:r>
    </w:p>
    <w:p>
      <w:pPr>
        <w:numPr>
          <w:ilvl w:val="0"/>
          <w:numId w:val="1"/>
        </w:numPr>
        <w:spacing w:after="60"/>
      </w:pPr>
      <w:r>
        <w:rPr>
          <w:sz w:val="22"/>
        </w:rPr>
        <w:t>Each nodule documented in 2 planes with measurements (3 dimensions)</w:t>
      </w:r>
    </w:p>
    <w:p>
      <w:pPr>
        <w:numPr>
          <w:ilvl w:val="0"/>
          <w:numId w:val="1"/>
        </w:numPr>
        <w:spacing w:after="60"/>
      </w:pPr>
      <w:r>
        <w:rPr>
          <w:sz w:val="22"/>
        </w:rPr>
        <w:t>Color Doppler of nodules to assess vascularity</w:t>
      </w:r>
    </w:p>
    <w:p>
      <w:pPr>
        <w:pStyle w:val="Heading3"/>
        <w:spacing w:before="240" w:after="80"/>
      </w:pPr>
      <w:r>
        <w:rPr>
          <w:b/>
          <w:sz w:val="24"/>
          <w:color w:val="2A2A2A"/>
        </w:rPr>
        <w:t>Nodule Characterization (TI-RADS Compatible)</w:t>
      </w:r>
    </w:p>
    <w:p>
      <w:pPr>
        <w:numPr>
          <w:ilvl w:val="0"/>
          <w:numId w:val="1"/>
        </w:numPr>
        <w:spacing w:after="60"/>
      </w:pPr>
      <w:r>
        <w:rPr>
          <w:sz w:val="22"/>
        </w:rPr>
        <w:t>Composition (solid, cystic, mixed, spongiform)</w:t>
      </w:r>
    </w:p>
    <w:p>
      <w:pPr>
        <w:numPr>
          <w:ilvl w:val="0"/>
          <w:numId w:val="1"/>
        </w:numPr>
        <w:spacing w:after="60"/>
      </w:pPr>
      <w:r>
        <w:rPr>
          <w:sz w:val="22"/>
        </w:rPr>
        <w:t>Echogenicity (hyperechoic, isoechoic, hypoechoic, very hypoechoic)</w:t>
      </w:r>
    </w:p>
    <w:p>
      <w:pPr>
        <w:numPr>
          <w:ilvl w:val="0"/>
          <w:numId w:val="1"/>
        </w:numPr>
        <w:spacing w:after="60"/>
      </w:pPr>
      <w:r>
        <w:rPr>
          <w:sz w:val="22"/>
        </w:rPr>
        <w:t>Shape (wider-than-tall or taller-than-wide)</w:t>
      </w:r>
    </w:p>
    <w:p>
      <w:pPr>
        <w:numPr>
          <w:ilvl w:val="0"/>
          <w:numId w:val="1"/>
        </w:numPr>
        <w:spacing w:after="60"/>
      </w:pPr>
      <w:r>
        <w:rPr>
          <w:sz w:val="22"/>
        </w:rPr>
        <w:t>Margin (smooth, ill-defined, lobulated, extra-thyroidal extension)</w:t>
      </w:r>
    </w:p>
    <w:p>
      <w:pPr>
        <w:numPr>
          <w:ilvl w:val="0"/>
          <w:numId w:val="1"/>
        </w:numPr>
        <w:spacing w:after="60"/>
      </w:pPr>
      <w:r>
        <w:rPr>
          <w:sz w:val="22"/>
        </w:rPr>
        <w:t>Echogenic foci (microcalcifications, macrocalcifications, comet-tail artifact)</w:t>
      </w:r>
    </w:p>
    <w:p>
      <w:pPr>
        <w:pStyle w:val="Heading2"/>
        <w:spacing w:before="360" w:after="120"/>
      </w:pPr>
      <w:r>
        <w:rPr>
          <w:b/>
          <w:sz w:val="28"/>
          <w:color w:val="004D78"/>
        </w:rPr>
        <w:t>9.2 Breast Ultrasound (CPT 76641 Complete / 76642 Limited)</w:t>
      </w:r>
    </w:p>
    <w:p>
      <w:pPr>
        <w:pStyle w:val="Heading3"/>
        <w:spacing w:before="240" w:after="80"/>
      </w:pPr>
      <w:r>
        <w:rPr>
          <w:b/>
          <w:sz w:val="24"/>
          <w:color w:val="2A2A2A"/>
        </w:rPr>
        <w:t>Indications</w:t>
      </w:r>
    </w:p>
    <w:p>
      <w:pPr>
        <w:numPr>
          <w:ilvl w:val="0"/>
          <w:numId w:val="1"/>
        </w:numPr>
        <w:spacing w:after="60"/>
      </w:pPr>
      <w:r>
        <w:rPr>
          <w:sz w:val="22"/>
        </w:rPr>
        <w:t>Palpable abnormality</w:t>
      </w:r>
    </w:p>
    <w:p>
      <w:pPr>
        <w:numPr>
          <w:ilvl w:val="0"/>
          <w:numId w:val="1"/>
        </w:numPr>
        <w:spacing w:after="60"/>
      </w:pPr>
      <w:r>
        <w:rPr>
          <w:sz w:val="22"/>
        </w:rPr>
        <w:t>Follow-up of mammographic findings</w:t>
      </w:r>
    </w:p>
    <w:p>
      <w:pPr>
        <w:numPr>
          <w:ilvl w:val="0"/>
          <w:numId w:val="1"/>
        </w:numPr>
        <w:spacing w:after="60"/>
      </w:pPr>
      <w:r>
        <w:rPr>
          <w:sz w:val="22"/>
        </w:rPr>
        <w:t>Supplemental imaging for dense breast tissue</w:t>
      </w:r>
    </w:p>
    <w:p>
      <w:pPr>
        <w:numPr>
          <w:ilvl w:val="0"/>
          <w:numId w:val="1"/>
        </w:numPr>
        <w:spacing w:after="60"/>
      </w:pPr>
      <w:r>
        <w:rPr>
          <w:sz w:val="22"/>
        </w:rPr>
        <w:t>Symptomatic evaluation (pain, discharge)</w:t>
      </w:r>
    </w:p>
    <w:p>
      <w:pPr>
        <w:numPr>
          <w:ilvl w:val="0"/>
          <w:numId w:val="1"/>
        </w:numPr>
        <w:spacing w:after="60"/>
      </w:pPr>
      <w:r>
        <w:rPr>
          <w:sz w:val="22"/>
        </w:rPr>
        <w:t>Implant integrity evaluation (limited)</w:t>
      </w:r>
    </w:p>
    <w:p>
      <w:pPr>
        <w:pStyle w:val="Heading3"/>
        <w:spacing w:before="240" w:after="80"/>
      </w:pPr>
      <w:r>
        <w:rPr>
          <w:b/>
          <w:sz w:val="24"/>
          <w:color w:val="2A2A2A"/>
        </w:rPr>
        <w:t>Patient Preparation</w:t>
      </w:r>
    </w:p>
    <w:p>
      <w:pPr>
        <w:numPr>
          <w:ilvl w:val="0"/>
          <w:numId w:val="1"/>
        </w:numPr>
        <w:spacing w:after="60"/>
      </w:pPr>
      <w:r>
        <w:rPr>
          <w:sz w:val="22"/>
        </w:rPr>
        <w:t>No special preparation</w:t>
      </w:r>
    </w:p>
    <w:p>
      <w:pPr>
        <w:numPr>
          <w:ilvl w:val="0"/>
          <w:numId w:val="1"/>
        </w:numPr>
        <w:spacing w:after="60"/>
      </w:pPr>
      <w:r>
        <w:rPr>
          <w:sz w:val="22"/>
        </w:rPr>
        <w:t>Female chaperone recommended for all breast exams</w:t>
      </w:r>
    </w:p>
    <w:p>
      <w:pPr>
        <w:numPr>
          <w:ilvl w:val="0"/>
          <w:numId w:val="1"/>
        </w:numPr>
        <w:spacing w:after="60"/>
      </w:pPr>
      <w:r>
        <w:rPr>
          <w:sz w:val="22"/>
        </w:rPr>
        <w:t>Patient supine with arm raised above head on side being examined</w:t>
      </w:r>
    </w:p>
    <w:p>
      <w:pPr>
        <w:pStyle w:val="Heading3"/>
        <w:spacing w:before="240" w:after="80"/>
      </w:pPr>
      <w:r>
        <w:rPr>
          <w:b/>
          <w:sz w:val="24"/>
          <w:color w:val="2A2A2A"/>
        </w:rPr>
        <w:t>Equipment</w:t>
      </w:r>
    </w:p>
    <w:p>
      <w:pPr>
        <w:numPr>
          <w:ilvl w:val="0"/>
          <w:numId w:val="1"/>
        </w:numPr>
        <w:spacing w:after="60"/>
      </w:pPr>
      <w:r>
        <w:rPr>
          <w:sz w:val="22"/>
        </w:rPr>
        <w:t>High-frequency linear transducer (10–15 MHz)</w:t>
      </w:r>
    </w:p>
    <w:p>
      <w:pPr>
        <w:pStyle w:val="Heading3"/>
        <w:spacing w:before="240" w:after="80"/>
      </w:pPr>
      <w:r>
        <w:rPr>
          <w:b/>
          <w:sz w:val="24"/>
          <w:color w:val="2A2A2A"/>
        </w:rPr>
        <w:t>Required Documentation</w:t>
      </w:r>
    </w:p>
    <w:p>
      <w:pPr>
        <w:numPr>
          <w:ilvl w:val="0"/>
          <w:numId w:val="1"/>
        </w:numPr>
        <w:spacing w:after="60"/>
      </w:pPr>
      <w:r>
        <w:rPr>
          <w:sz w:val="22"/>
        </w:rPr>
        <w:t>Complete (76641): all four quadrants of one breast plus axilla, each in radial and antiradial planes</w:t>
      </w:r>
    </w:p>
    <w:p>
      <w:pPr>
        <w:numPr>
          <w:ilvl w:val="0"/>
          <w:numId w:val="1"/>
        </w:numPr>
        <w:spacing w:after="60"/>
      </w:pPr>
      <w:r>
        <w:rPr>
          <w:sz w:val="22"/>
        </w:rPr>
        <w:t>Limited (76642): focused area of clinical concern with surrounding tissue</w:t>
      </w:r>
    </w:p>
    <w:p>
      <w:pPr>
        <w:numPr>
          <w:ilvl w:val="0"/>
          <w:numId w:val="1"/>
        </w:numPr>
        <w:spacing w:after="60"/>
      </w:pPr>
      <w:r>
        <w:rPr>
          <w:sz w:val="22"/>
        </w:rPr>
        <w:t>Each lesion documented in 2 perpendicular planes with measurements</w:t>
      </w:r>
    </w:p>
    <w:p>
      <w:pPr>
        <w:numPr>
          <w:ilvl w:val="0"/>
          <w:numId w:val="1"/>
        </w:numPr>
        <w:spacing w:after="60"/>
      </w:pPr>
      <w:r>
        <w:rPr>
          <w:sz w:val="22"/>
        </w:rPr>
        <w:t>Location documented (clock position and distance from nipple)</w:t>
      </w:r>
    </w:p>
    <w:p>
      <w:pPr>
        <w:numPr>
          <w:ilvl w:val="0"/>
          <w:numId w:val="1"/>
        </w:numPr>
        <w:spacing w:after="60"/>
      </w:pPr>
      <w:r>
        <w:rPr>
          <w:sz w:val="22"/>
        </w:rPr>
        <w:t>Lesion characterization per BI-RADS lexicon</w:t>
      </w:r>
    </w:p>
    <w:p>
      <w:pPr>
        <w:numPr>
          <w:ilvl w:val="0"/>
          <w:numId w:val="1"/>
        </w:numPr>
        <w:spacing w:after="60"/>
      </w:pPr>
      <w:r>
        <w:rPr>
          <w:sz w:val="22"/>
        </w:rPr>
        <w:t>Color Doppler assessment of lesions</w:t>
      </w:r>
    </w:p>
    <w:p>
      <w:pPr>
        <w:pStyle w:val="Heading3"/>
        <w:spacing w:before="240" w:after="80"/>
      </w:pPr>
      <w:r>
        <w:rPr>
          <w:b/>
          <w:sz w:val="24"/>
          <w:color w:val="2A2A2A"/>
        </w:rPr>
        <w:t>BI-RADS Lesion Characterization</w:t>
      </w:r>
    </w:p>
    <w:p>
      <w:pPr>
        <w:numPr>
          <w:ilvl w:val="0"/>
          <w:numId w:val="1"/>
        </w:numPr>
        <w:spacing w:after="60"/>
      </w:pPr>
      <w:r>
        <w:rPr>
          <w:sz w:val="22"/>
        </w:rPr>
        <w:t>Shape (oval, round, irregular)</w:t>
      </w:r>
    </w:p>
    <w:p>
      <w:pPr>
        <w:numPr>
          <w:ilvl w:val="0"/>
          <w:numId w:val="1"/>
        </w:numPr>
        <w:spacing w:after="60"/>
      </w:pPr>
      <w:r>
        <w:rPr>
          <w:sz w:val="22"/>
        </w:rPr>
        <w:t>Orientation (parallel, not parallel)</w:t>
      </w:r>
    </w:p>
    <w:p>
      <w:pPr>
        <w:numPr>
          <w:ilvl w:val="0"/>
          <w:numId w:val="1"/>
        </w:numPr>
        <w:spacing w:after="60"/>
      </w:pPr>
      <w:r>
        <w:rPr>
          <w:sz w:val="22"/>
        </w:rPr>
        <w:t>Margin (circumscribed, not circumscribed: indistinct/angular/microlobulated/spiculated)</w:t>
      </w:r>
    </w:p>
    <w:p>
      <w:pPr>
        <w:numPr>
          <w:ilvl w:val="0"/>
          <w:numId w:val="1"/>
        </w:numPr>
        <w:spacing w:after="60"/>
      </w:pPr>
      <w:r>
        <w:rPr>
          <w:sz w:val="22"/>
        </w:rPr>
        <w:t>Echo pattern (anechoic, hyperechoic, hypoechoic, isoechoic, complex)</w:t>
      </w:r>
    </w:p>
    <w:p>
      <w:pPr>
        <w:numPr>
          <w:ilvl w:val="0"/>
          <w:numId w:val="1"/>
        </w:numPr>
        <w:spacing w:after="60"/>
      </w:pPr>
      <w:r>
        <w:rPr>
          <w:sz w:val="22"/>
        </w:rPr>
        <w:t>Posterior features (none, enhancement, shadowing, combined)</w:t>
      </w:r>
    </w:p>
    <w:p>
      <w:pPr>
        <w:numPr>
          <w:ilvl w:val="0"/>
          <w:numId w:val="1"/>
        </w:numPr>
        <w:spacing w:after="60"/>
      </w:pPr>
      <w:r>
        <w:rPr>
          <w:sz w:val="22"/>
        </w:rPr>
        <w:t>Surrounding tissue / calcifications / vascularity</w:t>
      </w:r>
    </w:p>
    <w:p>
      <w:pPr>
        <w:pStyle w:val="Heading3"/>
        <w:spacing w:before="240" w:after="80"/>
      </w:pPr>
      <w:r>
        <w:rPr>
          <w:b/>
          <w:sz w:val="24"/>
          <w:color w:val="2A2A2A"/>
        </w:rPr>
        <w:t>Mandatory Disclaimer</w:t>
      </w:r>
    </w:p>
    <w:p>
      <w:pPr>
        <w:ind w:left="720" w:right="720"/>
        <w:spacing w:before="120" w:after="120"/>
        <w:pBdr>
          <w:left w:val="single" w:sz="12" w:color="C9A856"/>
        </w:pBdr>
      </w:pPr>
      <w:r>
        <w:rPr>
          <w:i/>
          <w:sz w:val="22"/>
          <w:color w:val="5C5C5C"/>
        </w:rPr>
        <w:t>"Diagnostic breast ultrasound is supplemental imaging and not a replacement for screening mammography. Routine screening mammography should continue per patient's physician recommendations."</w:t>
      </w:r>
    </w:p>
    <w:p>
      <w:r>
        <w:br w:type="page"/>
      </w:r>
    </w:p>
    <w:p>
      <w:pPr>
        <w:pStyle w:val="Heading1"/>
        <w:pBdr>
          <w:bottom w:val="single" w:sz="6" w:color="C9A856"/>
        </w:pBdr>
        <w:spacing w:before="480" w:after="240"/>
      </w:pPr>
      <w:r>
        <w:rPr>
          <w:b/>
          <w:sz w:val="36"/>
          <w:color w:val="003355"/>
        </w:rPr>
        <w:t>10. OB/GYN Ultrasound Protocols</w:t>
      </w:r>
    </w:p>
    <w:p>
      <w:pPr>
        <w:spacing w:after="120" w:line="276" w:lineRule="auto"/>
      </w:pPr>
      <w:r>
        <w:rPr>
          <w:sz w:val="22"/>
        </w:rPr>
        <w:t>OB ultrasound carries elevated liability due to dual-patient consideration (maternal and fetal) and well-established standard-of-care guidelines. All OB studies follow AIUM Practice Parameters for Performance of Obstetric Ultrasound Examinations.</w:t>
      </w:r>
    </w:p>
    <w:p>
      <w:pPr>
        <w:pStyle w:val="Heading2"/>
        <w:spacing w:before="360" w:after="120"/>
      </w:pPr>
      <w:r>
        <w:rPr>
          <w:b/>
          <w:sz w:val="28"/>
          <w:color w:val="004D78"/>
        </w:rPr>
        <w:t>10.1 First Trimester / Dating Ultrasound (CPT 76801)</w:t>
      </w:r>
    </w:p>
    <w:p>
      <w:pPr>
        <w:pStyle w:val="Heading3"/>
        <w:spacing w:before="240" w:after="80"/>
      </w:pPr>
      <w:r>
        <w:rPr>
          <w:b/>
          <w:sz w:val="24"/>
          <w:color w:val="2A2A2A"/>
        </w:rPr>
        <w:t>Indications</w:t>
      </w:r>
    </w:p>
    <w:p>
      <w:pPr>
        <w:numPr>
          <w:ilvl w:val="0"/>
          <w:numId w:val="1"/>
        </w:numPr>
        <w:spacing w:after="60"/>
      </w:pPr>
      <w:r>
        <w:rPr>
          <w:sz w:val="22"/>
        </w:rPr>
        <w:t>Confirmation of intrauterine pregnancy</w:t>
      </w:r>
    </w:p>
    <w:p>
      <w:pPr>
        <w:numPr>
          <w:ilvl w:val="0"/>
          <w:numId w:val="1"/>
        </w:numPr>
        <w:spacing w:after="60"/>
      </w:pPr>
      <w:r>
        <w:rPr>
          <w:sz w:val="22"/>
        </w:rPr>
        <w:t>Estimation of gestational age</w:t>
      </w:r>
    </w:p>
    <w:p>
      <w:pPr>
        <w:numPr>
          <w:ilvl w:val="0"/>
          <w:numId w:val="1"/>
        </w:numPr>
        <w:spacing w:after="60"/>
      </w:pPr>
      <w:r>
        <w:rPr>
          <w:sz w:val="22"/>
        </w:rPr>
        <w:t>Assessment of fetal viability</w:t>
      </w:r>
    </w:p>
    <w:p>
      <w:pPr>
        <w:numPr>
          <w:ilvl w:val="0"/>
          <w:numId w:val="1"/>
        </w:numPr>
        <w:spacing w:after="60"/>
      </w:pPr>
      <w:r>
        <w:rPr>
          <w:sz w:val="22"/>
        </w:rPr>
        <w:t>Suspected ectopic pregnancy or pregnancy of unknown location</w:t>
      </w:r>
    </w:p>
    <w:p>
      <w:pPr>
        <w:numPr>
          <w:ilvl w:val="0"/>
          <w:numId w:val="1"/>
        </w:numPr>
        <w:spacing w:after="60"/>
      </w:pPr>
      <w:r>
        <w:rPr>
          <w:sz w:val="22"/>
        </w:rPr>
        <w:t>Vaginal bleeding in early pregnancy</w:t>
      </w:r>
    </w:p>
    <w:p>
      <w:pPr>
        <w:numPr>
          <w:ilvl w:val="0"/>
          <w:numId w:val="1"/>
        </w:numPr>
        <w:spacing w:after="60"/>
      </w:pPr>
      <w:r>
        <w:rPr>
          <w:sz w:val="22"/>
        </w:rPr>
        <w:t>Suspected multiple gestation</w:t>
      </w:r>
    </w:p>
    <w:p>
      <w:pPr>
        <w:pStyle w:val="Heading3"/>
        <w:spacing w:before="240" w:after="80"/>
      </w:pPr>
      <w:r>
        <w:rPr>
          <w:b/>
          <w:sz w:val="24"/>
          <w:color w:val="2A2A2A"/>
        </w:rPr>
        <w:t>Patient Preparation</w:t>
      </w:r>
    </w:p>
    <w:p>
      <w:pPr>
        <w:numPr>
          <w:ilvl w:val="0"/>
          <w:numId w:val="1"/>
        </w:numPr>
        <w:spacing w:after="60"/>
      </w:pPr>
      <w:r>
        <w:rPr>
          <w:sz w:val="22"/>
        </w:rPr>
        <w:t>Transabdominal: full bladder preferred for early gestations</w:t>
      </w:r>
    </w:p>
    <w:p>
      <w:pPr>
        <w:numPr>
          <w:ilvl w:val="0"/>
          <w:numId w:val="1"/>
        </w:numPr>
        <w:spacing w:after="60"/>
      </w:pPr>
      <w:r>
        <w:rPr>
          <w:sz w:val="22"/>
        </w:rPr>
        <w:t>Transvaginal: empty bladder</w:t>
      </w:r>
    </w:p>
    <w:p>
      <w:pPr>
        <w:pStyle w:val="Heading3"/>
        <w:spacing w:before="240" w:after="80"/>
      </w:pPr>
      <w:r>
        <w:rPr>
          <w:b/>
          <w:sz w:val="24"/>
          <w:color w:val="2A2A2A"/>
        </w:rPr>
        <w:t>Equipment</w:t>
      </w:r>
    </w:p>
    <w:p>
      <w:pPr>
        <w:numPr>
          <w:ilvl w:val="0"/>
          <w:numId w:val="1"/>
        </w:numPr>
        <w:spacing w:after="60"/>
      </w:pPr>
      <w:r>
        <w:rPr>
          <w:sz w:val="22"/>
        </w:rPr>
        <w:t>Curvilinear transducer (2–5 MHz) for transabdominal</w:t>
      </w:r>
    </w:p>
    <w:p>
      <w:pPr>
        <w:numPr>
          <w:ilvl w:val="0"/>
          <w:numId w:val="1"/>
        </w:numPr>
        <w:spacing w:after="60"/>
      </w:pPr>
      <w:r>
        <w:rPr>
          <w:sz w:val="22"/>
        </w:rPr>
        <w:t>Endocavitary transducer (5–9 MHz) for transvaginal</w:t>
      </w:r>
    </w:p>
    <w:p>
      <w:pPr>
        <w:pStyle w:val="Heading3"/>
        <w:spacing w:before="240" w:after="80"/>
      </w:pPr>
      <w:r>
        <w:rPr>
          <w:b/>
          <w:sz w:val="24"/>
          <w:color w:val="2A2A2A"/>
        </w:rPr>
        <w:t>Required Documentation</w:t>
      </w:r>
    </w:p>
    <w:p>
      <w:pPr>
        <w:numPr>
          <w:ilvl w:val="0"/>
          <w:numId w:val="1"/>
        </w:numPr>
        <w:spacing w:after="60"/>
      </w:pPr>
      <w:r>
        <w:rPr>
          <w:sz w:val="22"/>
        </w:rPr>
        <w:t>Uterus — longitudinal and transverse</w:t>
      </w:r>
    </w:p>
    <w:p>
      <w:pPr>
        <w:numPr>
          <w:ilvl w:val="0"/>
          <w:numId w:val="1"/>
        </w:numPr>
        <w:spacing w:after="60"/>
      </w:pPr>
      <w:r>
        <w:rPr>
          <w:sz w:val="22"/>
        </w:rPr>
        <w:t>Gestational sac — measurement of mean sac diameter</w:t>
      </w:r>
    </w:p>
    <w:p>
      <w:pPr>
        <w:numPr>
          <w:ilvl w:val="0"/>
          <w:numId w:val="1"/>
        </w:numPr>
        <w:spacing w:after="60"/>
      </w:pPr>
      <w:r>
        <w:rPr>
          <w:sz w:val="22"/>
        </w:rPr>
        <w:t>Yolk sac — presence/absence and measurement</w:t>
      </w:r>
    </w:p>
    <w:p>
      <w:pPr>
        <w:numPr>
          <w:ilvl w:val="0"/>
          <w:numId w:val="1"/>
        </w:numPr>
        <w:spacing w:after="60"/>
      </w:pPr>
      <w:r>
        <w:rPr>
          <w:sz w:val="22"/>
        </w:rPr>
        <w:t>Embryo/fetus — crown-rump length measurement</w:t>
      </w:r>
    </w:p>
    <w:p>
      <w:pPr>
        <w:numPr>
          <w:ilvl w:val="0"/>
          <w:numId w:val="1"/>
        </w:numPr>
        <w:spacing w:after="60"/>
      </w:pPr>
      <w:r>
        <w:rPr>
          <w:sz w:val="22"/>
        </w:rPr>
        <w:t>Cardiac activity — documented with M-mode or video clip (NEVER pulsed/spectral Doppler in first trimester due to thermal index concerns)</w:t>
      </w:r>
    </w:p>
    <w:p>
      <w:pPr>
        <w:numPr>
          <w:ilvl w:val="0"/>
          <w:numId w:val="1"/>
        </w:numPr>
        <w:spacing w:after="60"/>
      </w:pPr>
      <w:r>
        <w:rPr>
          <w:sz w:val="22"/>
        </w:rPr>
        <w:t>Number of gestational sacs and embryos</w:t>
      </w:r>
    </w:p>
    <w:p>
      <w:pPr>
        <w:numPr>
          <w:ilvl w:val="0"/>
          <w:numId w:val="1"/>
        </w:numPr>
        <w:spacing w:after="60"/>
      </w:pPr>
      <w:r>
        <w:rPr>
          <w:sz w:val="22"/>
        </w:rPr>
        <w:t>Adnexa — bilateral ovaries documented</w:t>
      </w:r>
    </w:p>
    <w:p>
      <w:pPr>
        <w:numPr>
          <w:ilvl w:val="0"/>
          <w:numId w:val="1"/>
        </w:numPr>
        <w:spacing w:after="60"/>
      </w:pPr>
      <w:r>
        <w:rPr>
          <w:sz w:val="22"/>
        </w:rPr>
        <w:t>Cul-de-sac — assessment for free fluid</w:t>
      </w:r>
    </w:p>
    <w:p>
      <w:pPr>
        <w:pStyle w:val="Heading3"/>
        <w:spacing w:before="240" w:after="80"/>
      </w:pPr>
      <w:r>
        <w:rPr>
          <w:b/>
          <w:sz w:val="24"/>
          <w:color w:val="2A2A2A"/>
        </w:rPr>
        <w:t>Dating Method</w:t>
      </w:r>
    </w:p>
    <w:p>
      <w:pPr>
        <w:numPr>
          <w:ilvl w:val="0"/>
          <w:numId w:val="1"/>
        </w:numPr>
        <w:spacing w:after="60"/>
      </w:pPr>
      <w:r>
        <w:rPr>
          <w:sz w:val="22"/>
        </w:rPr>
        <w:t>Crown-rump length is the most accurate dating method through ~14 weeks</w:t>
      </w:r>
    </w:p>
    <w:p>
      <w:pPr>
        <w:numPr>
          <w:ilvl w:val="0"/>
          <w:numId w:val="1"/>
        </w:numPr>
        <w:spacing w:after="60"/>
      </w:pPr>
      <w:r>
        <w:rPr>
          <w:sz w:val="22"/>
        </w:rPr>
        <w:t>Mean sac diameter dating used only when no embryo identified</w:t>
      </w:r>
    </w:p>
    <w:p>
      <w:pPr>
        <w:numPr>
          <w:ilvl w:val="0"/>
          <w:numId w:val="1"/>
        </w:numPr>
        <w:spacing w:after="60"/>
      </w:pPr>
      <w:r>
        <w:rPr>
          <w:sz w:val="22"/>
        </w:rPr>
        <w:t>Estimated due date documented based on most accurate measurement</w:t>
      </w:r>
    </w:p>
    <w:p>
      <w:pPr>
        <w:pStyle w:val="Heading3"/>
        <w:spacing w:before="240" w:after="80"/>
      </w:pPr>
      <w:r>
        <w:rPr>
          <w:b/>
          <w:sz w:val="24"/>
          <w:color w:val="2A2A2A"/>
        </w:rPr>
        <w:t>Critical Findings (First Trimester)</w:t>
      </w:r>
    </w:p>
    <w:p>
      <w:pPr>
        <w:numPr>
          <w:ilvl w:val="0"/>
          <w:numId w:val="1"/>
        </w:numPr>
        <w:spacing w:after="60"/>
      </w:pPr>
      <w:r>
        <w:rPr>
          <w:sz w:val="22"/>
        </w:rPr>
        <w:t>Pregnancy of unknown location with positive beta-hCG → urgent communication</w:t>
      </w:r>
    </w:p>
    <w:p>
      <w:pPr>
        <w:numPr>
          <w:ilvl w:val="0"/>
          <w:numId w:val="1"/>
        </w:numPr>
        <w:spacing w:after="60"/>
      </w:pPr>
      <w:r>
        <w:rPr>
          <w:sz w:val="22"/>
        </w:rPr>
        <w:t>Suspected ectopic pregnancy → immediate communication, emergency referral</w:t>
      </w:r>
    </w:p>
    <w:p>
      <w:pPr>
        <w:numPr>
          <w:ilvl w:val="0"/>
          <w:numId w:val="1"/>
        </w:numPr>
        <w:spacing w:after="60"/>
      </w:pPr>
      <w:r>
        <w:rPr>
          <w:sz w:val="22"/>
        </w:rPr>
        <w:t>Embryonic demise / non-viable pregnancy → urgent communication with OB provider</w:t>
      </w:r>
    </w:p>
    <w:p>
      <w:pPr>
        <w:numPr>
          <w:ilvl w:val="0"/>
          <w:numId w:val="1"/>
        </w:numPr>
        <w:spacing w:after="60"/>
      </w:pPr>
      <w:r>
        <w:rPr>
          <w:sz w:val="22"/>
        </w:rPr>
        <w:t>Heterotopic pregnancy → immediate communication</w:t>
      </w:r>
    </w:p>
    <w:p>
      <w:pPr>
        <w:pStyle w:val="Heading2"/>
        <w:spacing w:before="360" w:after="120"/>
      </w:pPr>
      <w:r>
        <w:rPr>
          <w:b/>
          <w:sz w:val="28"/>
          <w:color w:val="004D78"/>
        </w:rPr>
        <w:t>10.2 Transvaginal Pregnancy Ultrasound (CPT 76817)</w:t>
      </w:r>
    </w:p>
    <w:p>
      <w:pPr>
        <w:pStyle w:val="Heading3"/>
        <w:spacing w:before="240" w:after="80"/>
      </w:pPr>
      <w:r>
        <w:rPr>
          <w:b/>
          <w:sz w:val="24"/>
          <w:color w:val="2A2A2A"/>
        </w:rPr>
        <w:t>Indications</w:t>
      </w:r>
    </w:p>
    <w:p>
      <w:pPr>
        <w:numPr>
          <w:ilvl w:val="0"/>
          <w:numId w:val="1"/>
        </w:numPr>
        <w:spacing w:after="60"/>
      </w:pPr>
      <w:r>
        <w:rPr>
          <w:sz w:val="22"/>
        </w:rPr>
        <w:t>Optimal visualization in early pregnancy (&lt;10 weeks)</w:t>
      </w:r>
    </w:p>
    <w:p>
      <w:pPr>
        <w:numPr>
          <w:ilvl w:val="0"/>
          <w:numId w:val="1"/>
        </w:numPr>
        <w:spacing w:after="60"/>
      </w:pPr>
      <w:r>
        <w:rPr>
          <w:sz w:val="22"/>
        </w:rPr>
        <w:t>Better visualization when transabdominal limited by body habitus</w:t>
      </w:r>
    </w:p>
    <w:p>
      <w:pPr>
        <w:numPr>
          <w:ilvl w:val="0"/>
          <w:numId w:val="1"/>
        </w:numPr>
        <w:spacing w:after="60"/>
      </w:pPr>
      <w:r>
        <w:rPr>
          <w:sz w:val="22"/>
        </w:rPr>
        <w:t>Assessment of cervix or low-lying placenta in later pregnancy</w:t>
      </w:r>
    </w:p>
    <w:p>
      <w:pPr>
        <w:pStyle w:val="Heading3"/>
        <w:spacing w:before="240" w:after="80"/>
      </w:pPr>
      <w:r>
        <w:rPr>
          <w:b/>
          <w:sz w:val="24"/>
          <w:color w:val="2A2A2A"/>
        </w:rPr>
        <w:t>Pre-Procedure Requirements</w:t>
      </w:r>
    </w:p>
    <w:p>
      <w:pPr>
        <w:numPr>
          <w:ilvl w:val="0"/>
          <w:numId w:val="1"/>
        </w:numPr>
        <w:spacing w:after="60"/>
      </w:pPr>
      <w:r>
        <w:rPr>
          <w:sz w:val="22"/>
        </w:rPr>
        <w:t>Verbal informed consent documented</w:t>
      </w:r>
    </w:p>
    <w:p>
      <w:pPr>
        <w:numPr>
          <w:ilvl w:val="0"/>
          <w:numId w:val="1"/>
        </w:numPr>
        <w:spacing w:after="60"/>
      </w:pPr>
      <w:r>
        <w:rPr>
          <w:sz w:val="22"/>
        </w:rPr>
        <w:t>Female chaperone present in room</w:t>
      </w:r>
    </w:p>
    <w:p>
      <w:pPr>
        <w:numPr>
          <w:ilvl w:val="0"/>
          <w:numId w:val="1"/>
        </w:numPr>
        <w:spacing w:after="60"/>
      </w:pPr>
      <w:r>
        <w:rPr>
          <w:sz w:val="22"/>
        </w:rPr>
        <w:t>Single-use sterile probe cover applied with sterile gel inside cover</w:t>
      </w:r>
    </w:p>
    <w:p>
      <w:pPr>
        <w:numPr>
          <w:ilvl w:val="0"/>
          <w:numId w:val="1"/>
        </w:numPr>
        <w:spacing w:after="60"/>
      </w:pPr>
      <w:r>
        <w:rPr>
          <w:sz w:val="22"/>
        </w:rPr>
        <w:t>Patient privacy maintained throughout</w:t>
      </w:r>
    </w:p>
    <w:p>
      <w:pPr>
        <w:pStyle w:val="Heading3"/>
        <w:spacing w:before="240" w:after="80"/>
      </w:pPr>
      <w:r>
        <w:rPr>
          <w:b/>
          <w:sz w:val="24"/>
          <w:color w:val="2A2A2A"/>
        </w:rPr>
        <w:t>Required Documentation</w:t>
      </w:r>
    </w:p>
    <w:p>
      <w:pPr>
        <w:spacing w:after="120" w:line="276" w:lineRule="auto"/>
      </w:pPr>
      <w:r>
        <w:rPr>
          <w:sz w:val="22"/>
        </w:rPr>
        <w:t>Same as transabdominal first trimester scan plus:</w:t>
      </w:r>
    </w:p>
    <w:p>
      <w:pPr>
        <w:numPr>
          <w:ilvl w:val="0"/>
          <w:numId w:val="1"/>
        </w:numPr>
        <w:spacing w:after="60"/>
      </w:pPr>
      <w:r>
        <w:rPr>
          <w:sz w:val="22"/>
        </w:rPr>
        <w:t>Better visualization of yolk sac, embryo, and cardiac activity</w:t>
      </w:r>
    </w:p>
    <w:p>
      <w:pPr>
        <w:numPr>
          <w:ilvl w:val="0"/>
          <w:numId w:val="1"/>
        </w:numPr>
        <w:spacing w:after="60"/>
      </w:pPr>
      <w:r>
        <w:rPr>
          <w:sz w:val="22"/>
        </w:rPr>
        <w:t>Cervical length when indicated</w:t>
      </w:r>
    </w:p>
    <w:p>
      <w:pPr>
        <w:numPr>
          <w:ilvl w:val="0"/>
          <w:numId w:val="1"/>
        </w:numPr>
        <w:spacing w:after="60"/>
      </w:pPr>
      <w:r>
        <w:rPr>
          <w:sz w:val="22"/>
        </w:rPr>
        <w:t>Adnexa with higher resolution</w:t>
      </w:r>
    </w:p>
    <w:p>
      <w:pPr>
        <w:pStyle w:val="Heading3"/>
        <w:spacing w:before="240" w:after="80"/>
      </w:pPr>
      <w:r>
        <w:rPr>
          <w:b/>
          <w:sz w:val="24"/>
          <w:color w:val="2A2A2A"/>
        </w:rPr>
        <w:t>Post-Procedure</w:t>
      </w:r>
    </w:p>
    <w:p>
      <w:pPr>
        <w:numPr>
          <w:ilvl w:val="0"/>
          <w:numId w:val="1"/>
        </w:numPr>
        <w:spacing w:after="60"/>
      </w:pPr>
      <w:r>
        <w:rPr>
          <w:sz w:val="22"/>
        </w:rPr>
        <w:t>Probe immediately undergoes high-level disinfection per Section 3.2</w:t>
      </w:r>
    </w:p>
    <w:p>
      <w:pPr>
        <w:numPr>
          <w:ilvl w:val="0"/>
          <w:numId w:val="1"/>
        </w:numPr>
        <w:spacing w:after="60"/>
      </w:pPr>
      <w:r>
        <w:rPr>
          <w:sz w:val="22"/>
        </w:rPr>
        <w:t>Reprocessing logged</w:t>
      </w:r>
    </w:p>
    <w:p>
      <w:pPr>
        <w:pStyle w:val="Heading2"/>
        <w:spacing w:before="360" w:after="120"/>
      </w:pPr>
      <w:r>
        <w:rPr>
          <w:b/>
          <w:sz w:val="28"/>
          <w:color w:val="004D78"/>
        </w:rPr>
        <w:t>10.3 Standard Pregnancy / Anatomy Scan (CPT 76805)</w:t>
      </w:r>
    </w:p>
    <w:p>
      <w:pPr>
        <w:pStyle w:val="Heading3"/>
        <w:spacing w:before="240" w:after="80"/>
      </w:pPr>
      <w:r>
        <w:rPr>
          <w:b/>
          <w:sz w:val="24"/>
          <w:color w:val="2A2A2A"/>
        </w:rPr>
        <w:t>Indications</w:t>
      </w:r>
    </w:p>
    <w:p>
      <w:pPr>
        <w:numPr>
          <w:ilvl w:val="0"/>
          <w:numId w:val="1"/>
        </w:numPr>
        <w:spacing w:after="60"/>
      </w:pPr>
      <w:r>
        <w:rPr>
          <w:sz w:val="22"/>
        </w:rPr>
        <w:t>Routine second-trimester evaluation (typically 18–22 weeks)</w:t>
      </w:r>
    </w:p>
    <w:p>
      <w:pPr>
        <w:numPr>
          <w:ilvl w:val="0"/>
          <w:numId w:val="1"/>
        </w:numPr>
        <w:spacing w:after="60"/>
      </w:pPr>
      <w:r>
        <w:rPr>
          <w:sz w:val="22"/>
        </w:rPr>
        <w:t>Fetal anatomy survey</w:t>
      </w:r>
    </w:p>
    <w:p>
      <w:pPr>
        <w:numPr>
          <w:ilvl w:val="0"/>
          <w:numId w:val="1"/>
        </w:numPr>
        <w:spacing w:after="60"/>
      </w:pPr>
      <w:r>
        <w:rPr>
          <w:sz w:val="22"/>
        </w:rPr>
        <w:t>Confirmation of dating</w:t>
      </w:r>
    </w:p>
    <w:p>
      <w:pPr>
        <w:numPr>
          <w:ilvl w:val="0"/>
          <w:numId w:val="1"/>
        </w:numPr>
        <w:spacing w:after="60"/>
      </w:pPr>
      <w:r>
        <w:rPr>
          <w:sz w:val="22"/>
        </w:rPr>
        <w:t>Placenta and amniotic fluid assessment</w:t>
      </w:r>
    </w:p>
    <w:p>
      <w:pPr>
        <w:pStyle w:val="Heading3"/>
        <w:spacing w:before="240" w:after="80"/>
      </w:pPr>
      <w:r>
        <w:rPr>
          <w:b/>
          <w:sz w:val="24"/>
          <w:color w:val="2A2A2A"/>
        </w:rPr>
        <w:t>Patient Preparation</w:t>
      </w:r>
    </w:p>
    <w:p>
      <w:pPr>
        <w:numPr>
          <w:ilvl w:val="0"/>
          <w:numId w:val="1"/>
        </w:numPr>
        <w:spacing w:after="60"/>
      </w:pPr>
      <w:r>
        <w:rPr>
          <w:sz w:val="22"/>
        </w:rPr>
        <w:t>No special preparation</w:t>
      </w:r>
    </w:p>
    <w:p>
      <w:pPr>
        <w:numPr>
          <w:ilvl w:val="0"/>
          <w:numId w:val="1"/>
        </w:numPr>
        <w:spacing w:after="60"/>
      </w:pPr>
      <w:r>
        <w:rPr>
          <w:sz w:val="22"/>
        </w:rPr>
        <w:t>Patient supine; may require lateral repositioning for fetal position</w:t>
      </w:r>
    </w:p>
    <w:p>
      <w:pPr>
        <w:pStyle w:val="Heading3"/>
        <w:spacing w:before="240" w:after="80"/>
      </w:pPr>
      <w:r>
        <w:rPr>
          <w:b/>
          <w:sz w:val="24"/>
          <w:color w:val="2A2A2A"/>
        </w:rPr>
        <w:t>Required Fetal Biometry</w:t>
      </w:r>
    </w:p>
    <w:p>
      <w:pPr>
        <w:numPr>
          <w:ilvl w:val="0"/>
          <w:numId w:val="1"/>
        </w:numPr>
        <w:spacing w:after="60"/>
      </w:pPr>
      <w:r>
        <w:rPr>
          <w:sz w:val="22"/>
        </w:rPr>
        <w:t>Biparietal diameter (BPD)</w:t>
      </w:r>
    </w:p>
    <w:p>
      <w:pPr>
        <w:numPr>
          <w:ilvl w:val="0"/>
          <w:numId w:val="1"/>
        </w:numPr>
        <w:spacing w:after="60"/>
      </w:pPr>
      <w:r>
        <w:rPr>
          <w:sz w:val="22"/>
        </w:rPr>
        <w:t>Head circumference (HC)</w:t>
      </w:r>
    </w:p>
    <w:p>
      <w:pPr>
        <w:numPr>
          <w:ilvl w:val="0"/>
          <w:numId w:val="1"/>
        </w:numPr>
        <w:spacing w:after="60"/>
      </w:pPr>
      <w:r>
        <w:rPr>
          <w:sz w:val="22"/>
        </w:rPr>
        <w:t>Abdominal circumference (AC)</w:t>
      </w:r>
    </w:p>
    <w:p>
      <w:pPr>
        <w:numPr>
          <w:ilvl w:val="0"/>
          <w:numId w:val="1"/>
        </w:numPr>
        <w:spacing w:after="60"/>
      </w:pPr>
      <w:r>
        <w:rPr>
          <w:sz w:val="22"/>
        </w:rPr>
        <w:t>Femur length (FL)</w:t>
      </w:r>
    </w:p>
    <w:p>
      <w:pPr>
        <w:numPr>
          <w:ilvl w:val="0"/>
          <w:numId w:val="1"/>
        </w:numPr>
        <w:spacing w:after="60"/>
      </w:pPr>
      <w:r>
        <w:rPr>
          <w:sz w:val="22"/>
        </w:rPr>
        <w:t>Composite gestational age and estimated fetal weight</w:t>
      </w:r>
    </w:p>
    <w:p>
      <w:pPr>
        <w:pStyle w:val="Heading3"/>
        <w:spacing w:before="240" w:after="80"/>
      </w:pPr>
      <w:r>
        <w:rPr>
          <w:b/>
          <w:sz w:val="24"/>
          <w:color w:val="2A2A2A"/>
        </w:rPr>
        <w:t>Required Fetal Anatomy Survey</w:t>
      </w:r>
    </w:p>
    <w:p>
      <w:pPr>
        <w:spacing w:after="120" w:line="276" w:lineRule="auto"/>
      </w:pPr>
      <w:r>
        <w:rPr>
          <w:sz w:val="22"/>
        </w:rPr>
        <w:t>Head and Neck:</w:t>
      </w:r>
    </w:p>
    <w:p>
      <w:pPr>
        <w:numPr>
          <w:ilvl w:val="0"/>
          <w:numId w:val="1"/>
        </w:numPr>
        <w:spacing w:after="60"/>
      </w:pPr>
      <w:r>
        <w:rPr>
          <w:sz w:val="22"/>
        </w:rPr>
        <w:t>Cerebellum</w:t>
      </w:r>
    </w:p>
    <w:p>
      <w:pPr>
        <w:numPr>
          <w:ilvl w:val="0"/>
          <w:numId w:val="1"/>
        </w:numPr>
        <w:spacing w:after="60"/>
      </w:pPr>
      <w:r>
        <w:rPr>
          <w:sz w:val="22"/>
        </w:rPr>
        <w:t>Choroid plexus</w:t>
      </w:r>
    </w:p>
    <w:p>
      <w:pPr>
        <w:numPr>
          <w:ilvl w:val="0"/>
          <w:numId w:val="1"/>
        </w:numPr>
        <w:spacing w:after="60"/>
      </w:pPr>
      <w:r>
        <w:rPr>
          <w:sz w:val="22"/>
        </w:rPr>
        <w:t>Cisterna magna</w:t>
      </w:r>
    </w:p>
    <w:p>
      <w:pPr>
        <w:numPr>
          <w:ilvl w:val="0"/>
          <w:numId w:val="1"/>
        </w:numPr>
        <w:spacing w:after="60"/>
      </w:pPr>
      <w:r>
        <w:rPr>
          <w:sz w:val="22"/>
        </w:rPr>
        <w:t>Lateral cerebral ventricles</w:t>
      </w:r>
    </w:p>
    <w:p>
      <w:pPr>
        <w:numPr>
          <w:ilvl w:val="0"/>
          <w:numId w:val="1"/>
        </w:numPr>
        <w:spacing w:after="60"/>
      </w:pPr>
      <w:r>
        <w:rPr>
          <w:sz w:val="22"/>
        </w:rPr>
        <w:t>Midline falx</w:t>
      </w:r>
    </w:p>
    <w:p>
      <w:pPr>
        <w:numPr>
          <w:ilvl w:val="0"/>
          <w:numId w:val="1"/>
        </w:numPr>
        <w:spacing w:after="60"/>
      </w:pPr>
      <w:r>
        <w:rPr>
          <w:sz w:val="22"/>
        </w:rPr>
        <w:t>Cavum septum pellucidum</w:t>
      </w:r>
    </w:p>
    <w:p>
      <w:pPr>
        <w:numPr>
          <w:ilvl w:val="0"/>
          <w:numId w:val="1"/>
        </w:numPr>
        <w:spacing w:after="60"/>
      </w:pPr>
      <w:r>
        <w:rPr>
          <w:sz w:val="22"/>
        </w:rPr>
        <w:t>Upper lip / lower face</w:t>
      </w:r>
    </w:p>
    <w:p>
      <w:pPr>
        <w:numPr>
          <w:ilvl w:val="0"/>
          <w:numId w:val="1"/>
        </w:numPr>
        <w:spacing w:after="60"/>
      </w:pPr>
      <w:r>
        <w:rPr>
          <w:sz w:val="22"/>
        </w:rPr>
        <w:t>Nuchal fold measurement</w:t>
      </w:r>
    </w:p>
    <w:p>
      <w:pPr>
        <w:spacing w:after="120" w:line="276" w:lineRule="auto"/>
      </w:pPr>
      <w:r>
        <w:rPr>
          <w:sz w:val="22"/>
        </w:rPr>
        <w:t>Chest:</w:t>
      </w:r>
    </w:p>
    <w:p>
      <w:pPr>
        <w:numPr>
          <w:ilvl w:val="0"/>
          <w:numId w:val="1"/>
        </w:numPr>
        <w:spacing w:after="60"/>
      </w:pPr>
      <w:r>
        <w:rPr>
          <w:sz w:val="22"/>
        </w:rPr>
        <w:t>4-chamber heart view</w:t>
      </w:r>
    </w:p>
    <w:p>
      <w:pPr>
        <w:numPr>
          <w:ilvl w:val="0"/>
          <w:numId w:val="1"/>
        </w:numPr>
        <w:spacing w:after="60"/>
      </w:pPr>
      <w:r>
        <w:rPr>
          <w:sz w:val="22"/>
        </w:rPr>
        <w:t>Left and right ventricular outflow tracts</w:t>
      </w:r>
    </w:p>
    <w:p>
      <w:pPr>
        <w:numPr>
          <w:ilvl w:val="0"/>
          <w:numId w:val="1"/>
        </w:numPr>
        <w:spacing w:after="60"/>
      </w:pPr>
      <w:r>
        <w:rPr>
          <w:sz w:val="22"/>
        </w:rPr>
        <w:t>3-vessel and 3-vessel-trachea views</w:t>
      </w:r>
    </w:p>
    <w:p>
      <w:pPr>
        <w:numPr>
          <w:ilvl w:val="0"/>
          <w:numId w:val="1"/>
        </w:numPr>
        <w:spacing w:after="60"/>
      </w:pPr>
      <w:r>
        <w:rPr>
          <w:sz w:val="22"/>
        </w:rPr>
        <w:t>Diaphragm</w:t>
      </w:r>
    </w:p>
    <w:p>
      <w:pPr>
        <w:spacing w:after="120" w:line="276" w:lineRule="auto"/>
      </w:pPr>
      <w:r>
        <w:rPr>
          <w:sz w:val="22"/>
        </w:rPr>
        <w:t>Abdomen:</w:t>
      </w:r>
    </w:p>
    <w:p>
      <w:pPr>
        <w:numPr>
          <w:ilvl w:val="0"/>
          <w:numId w:val="1"/>
        </w:numPr>
        <w:spacing w:after="60"/>
      </w:pPr>
      <w:r>
        <w:rPr>
          <w:sz w:val="22"/>
        </w:rPr>
        <w:t>Stomach (presence, location)</w:t>
      </w:r>
    </w:p>
    <w:p>
      <w:pPr>
        <w:numPr>
          <w:ilvl w:val="0"/>
          <w:numId w:val="1"/>
        </w:numPr>
        <w:spacing w:after="60"/>
      </w:pPr>
      <w:r>
        <w:rPr>
          <w:sz w:val="22"/>
        </w:rPr>
        <w:t>Kidneys</w:t>
      </w:r>
    </w:p>
    <w:p>
      <w:pPr>
        <w:numPr>
          <w:ilvl w:val="0"/>
          <w:numId w:val="1"/>
        </w:numPr>
        <w:spacing w:after="60"/>
      </w:pPr>
      <w:r>
        <w:rPr>
          <w:sz w:val="22"/>
        </w:rPr>
        <w:t>Bladder</w:t>
      </w:r>
    </w:p>
    <w:p>
      <w:pPr>
        <w:numPr>
          <w:ilvl w:val="0"/>
          <w:numId w:val="1"/>
        </w:numPr>
        <w:spacing w:after="60"/>
      </w:pPr>
      <w:r>
        <w:rPr>
          <w:sz w:val="22"/>
        </w:rPr>
        <w:t>Cord insertion (anterior abdominal wall)</w:t>
      </w:r>
    </w:p>
    <w:p>
      <w:pPr>
        <w:numPr>
          <w:ilvl w:val="0"/>
          <w:numId w:val="1"/>
        </w:numPr>
        <w:spacing w:after="60"/>
      </w:pPr>
      <w:r>
        <w:rPr>
          <w:sz w:val="22"/>
        </w:rPr>
        <w:t>Umbilical cord (3 vessels documented)</w:t>
      </w:r>
    </w:p>
    <w:p>
      <w:pPr>
        <w:spacing w:after="120" w:line="276" w:lineRule="auto"/>
      </w:pPr>
      <w:r>
        <w:rPr>
          <w:sz w:val="22"/>
        </w:rPr>
        <w:t>Spine:</w:t>
      </w:r>
    </w:p>
    <w:p>
      <w:pPr>
        <w:numPr>
          <w:ilvl w:val="0"/>
          <w:numId w:val="1"/>
        </w:numPr>
        <w:spacing w:after="60"/>
      </w:pPr>
      <w:r>
        <w:rPr>
          <w:sz w:val="22"/>
        </w:rPr>
        <w:t>Cervical, thoracic, lumbar, sacral — longitudinal and transverse documentation</w:t>
      </w:r>
    </w:p>
    <w:p>
      <w:pPr>
        <w:spacing w:after="120" w:line="276" w:lineRule="auto"/>
      </w:pPr>
      <w:r>
        <w:rPr>
          <w:sz w:val="22"/>
        </w:rPr>
        <w:t>Extremities:</w:t>
      </w:r>
    </w:p>
    <w:p>
      <w:pPr>
        <w:numPr>
          <w:ilvl w:val="0"/>
          <w:numId w:val="1"/>
        </w:numPr>
        <w:spacing w:after="60"/>
      </w:pPr>
      <w:r>
        <w:rPr>
          <w:sz w:val="22"/>
        </w:rPr>
        <w:t>Documentation of all four limbs presence</w:t>
      </w:r>
    </w:p>
    <w:p>
      <w:pPr>
        <w:numPr>
          <w:ilvl w:val="0"/>
          <w:numId w:val="1"/>
        </w:numPr>
        <w:spacing w:after="60"/>
      </w:pPr>
      <w:r>
        <w:rPr>
          <w:sz w:val="22"/>
        </w:rPr>
        <w:t>Long bones documented</w:t>
      </w:r>
    </w:p>
    <w:p>
      <w:pPr>
        <w:spacing w:after="120" w:line="276" w:lineRule="auto"/>
      </w:pPr>
      <w:r>
        <w:rPr>
          <w:sz w:val="22"/>
        </w:rPr>
        <w:t>Sex (if requested and visible — only with parental request and per facility policy)</w:t>
      </w:r>
    </w:p>
    <w:p>
      <w:pPr>
        <w:spacing w:after="120" w:line="276" w:lineRule="auto"/>
      </w:pPr>
      <w:r>
        <w:rPr>
          <w:sz w:val="22"/>
        </w:rPr>
        <w:t>Placenta:</w:t>
      </w:r>
    </w:p>
    <w:p>
      <w:pPr>
        <w:numPr>
          <w:ilvl w:val="0"/>
          <w:numId w:val="1"/>
        </w:numPr>
        <w:spacing w:after="60"/>
      </w:pPr>
      <w:r>
        <w:rPr>
          <w:sz w:val="22"/>
        </w:rPr>
        <w:t>Location</w:t>
      </w:r>
    </w:p>
    <w:p>
      <w:pPr>
        <w:numPr>
          <w:ilvl w:val="0"/>
          <w:numId w:val="1"/>
        </w:numPr>
        <w:spacing w:after="60"/>
      </w:pPr>
      <w:r>
        <w:rPr>
          <w:sz w:val="22"/>
        </w:rPr>
        <w:t>Relationship to internal os</w:t>
      </w:r>
    </w:p>
    <w:p>
      <w:pPr>
        <w:numPr>
          <w:ilvl w:val="0"/>
          <w:numId w:val="1"/>
        </w:numPr>
        <w:spacing w:after="60"/>
      </w:pPr>
      <w:r>
        <w:rPr>
          <w:sz w:val="22"/>
        </w:rPr>
        <w:t>Cord insertion</w:t>
      </w:r>
    </w:p>
    <w:p>
      <w:pPr>
        <w:spacing w:after="120" w:line="276" w:lineRule="auto"/>
      </w:pPr>
      <w:r>
        <w:rPr>
          <w:sz w:val="22"/>
        </w:rPr>
        <w:t>Amniotic fluid: amniotic fluid index (AFI) or single deepest pocket measurement</w:t>
      </w:r>
    </w:p>
    <w:p>
      <w:pPr>
        <w:spacing w:after="120" w:line="276" w:lineRule="auto"/>
      </w:pPr>
      <w:r>
        <w:rPr>
          <w:sz w:val="22"/>
        </w:rPr>
        <w:t>Maternal anatomy: cervix length and assessment, uterus, adnexa</w:t>
      </w:r>
    </w:p>
    <w:p>
      <w:pPr>
        <w:pStyle w:val="Heading3"/>
        <w:spacing w:before="240" w:after="80"/>
      </w:pPr>
      <w:r>
        <w:rPr>
          <w:b/>
          <w:sz w:val="24"/>
          <w:color w:val="2A2A2A"/>
        </w:rPr>
        <w:t>Mandatory Disclaimer</w:t>
      </w:r>
    </w:p>
    <w:p>
      <w:pPr>
        <w:ind w:left="720" w:right="720"/>
        <w:spacing w:before="120" w:after="120"/>
        <w:pBdr>
          <w:left w:val="single" w:sz="12" w:color="C9A856"/>
        </w:pBdr>
      </w:pPr>
      <w:r>
        <w:rPr>
          <w:i/>
          <w:sz w:val="22"/>
          <w:color w:val="5C5C5C"/>
        </w:rPr>
        <w:t>"This obstetric ultrasound has limitations. Some fetal anomalies may not be detected by ultrasound. Detection rates vary by anomaly type, gestational age, fetal position, maternal body habitus, and equipment used. A normal ultrasound does not guarantee a normal pregnancy outcome or a healthy baby."</w:t>
      </w:r>
    </w:p>
    <w:p>
      <w:pPr>
        <w:pStyle w:val="Heading2"/>
        <w:spacing w:before="360" w:after="120"/>
      </w:pPr>
      <w:r>
        <w:rPr>
          <w:b/>
          <w:sz w:val="28"/>
          <w:color w:val="004D78"/>
        </w:rPr>
        <w:t>10.4 Limited Pregnancy Ultrasound (CPT 76815)</w:t>
      </w:r>
    </w:p>
    <w:p>
      <w:pPr>
        <w:pStyle w:val="Heading3"/>
        <w:spacing w:before="240" w:after="80"/>
      </w:pPr>
      <w:r>
        <w:rPr>
          <w:b/>
          <w:sz w:val="24"/>
          <w:color w:val="2A2A2A"/>
        </w:rPr>
        <w:t>Indications</w:t>
      </w:r>
    </w:p>
    <w:p>
      <w:pPr>
        <w:numPr>
          <w:ilvl w:val="0"/>
          <w:numId w:val="1"/>
        </w:numPr>
        <w:spacing w:after="60"/>
      </w:pPr>
      <w:r>
        <w:rPr>
          <w:sz w:val="22"/>
        </w:rPr>
        <w:t>Quick fetal heartbeat check</w:t>
      </w:r>
    </w:p>
    <w:p>
      <w:pPr>
        <w:numPr>
          <w:ilvl w:val="0"/>
          <w:numId w:val="1"/>
        </w:numPr>
        <w:spacing w:after="60"/>
      </w:pPr>
      <w:r>
        <w:rPr>
          <w:sz w:val="22"/>
        </w:rPr>
        <w:t>Fetal position confirmation</w:t>
      </w:r>
    </w:p>
    <w:p>
      <w:pPr>
        <w:numPr>
          <w:ilvl w:val="0"/>
          <w:numId w:val="1"/>
        </w:numPr>
        <w:spacing w:after="60"/>
      </w:pPr>
      <w:r>
        <w:rPr>
          <w:sz w:val="22"/>
        </w:rPr>
        <w:t>Amniotic fluid assessment</w:t>
      </w:r>
    </w:p>
    <w:p>
      <w:pPr>
        <w:numPr>
          <w:ilvl w:val="0"/>
          <w:numId w:val="1"/>
        </w:numPr>
        <w:spacing w:after="60"/>
      </w:pPr>
      <w:r>
        <w:rPr>
          <w:sz w:val="22"/>
        </w:rPr>
        <w:t>Limited evaluation when full study not indicated</w:t>
      </w:r>
    </w:p>
    <w:p>
      <w:pPr>
        <w:pStyle w:val="Heading3"/>
        <w:spacing w:before="240" w:after="80"/>
      </w:pPr>
      <w:r>
        <w:rPr>
          <w:b/>
          <w:sz w:val="24"/>
          <w:color w:val="2A2A2A"/>
        </w:rPr>
        <w:t>Required Documentation</w:t>
      </w:r>
    </w:p>
    <w:p>
      <w:pPr>
        <w:numPr>
          <w:ilvl w:val="0"/>
          <w:numId w:val="1"/>
        </w:numPr>
        <w:spacing w:after="60"/>
      </w:pPr>
      <w:r>
        <w:rPr>
          <w:sz w:val="22"/>
        </w:rPr>
        <w:t>Documentation of specific question being addressed</w:t>
      </w:r>
    </w:p>
    <w:p>
      <w:pPr>
        <w:numPr>
          <w:ilvl w:val="0"/>
          <w:numId w:val="1"/>
        </w:numPr>
        <w:spacing w:after="60"/>
      </w:pPr>
      <w:r>
        <w:rPr>
          <w:sz w:val="22"/>
        </w:rPr>
        <w:t>Fetal cardiac activity</w:t>
      </w:r>
    </w:p>
    <w:p>
      <w:pPr>
        <w:numPr>
          <w:ilvl w:val="0"/>
          <w:numId w:val="1"/>
        </w:numPr>
        <w:spacing w:after="60"/>
      </w:pPr>
      <w:r>
        <w:rPr>
          <w:sz w:val="22"/>
        </w:rPr>
        <w:t>Fetal presentation when indicated</w:t>
      </w:r>
    </w:p>
    <w:p>
      <w:pPr>
        <w:numPr>
          <w:ilvl w:val="0"/>
          <w:numId w:val="1"/>
        </w:numPr>
        <w:spacing w:after="60"/>
      </w:pPr>
      <w:r>
        <w:rPr>
          <w:sz w:val="22"/>
        </w:rPr>
        <w:t>Amniotic fluid measurement when indicated</w:t>
      </w:r>
    </w:p>
    <w:p>
      <w:pPr>
        <w:numPr>
          <w:ilvl w:val="0"/>
          <w:numId w:val="1"/>
        </w:numPr>
        <w:spacing w:after="60"/>
      </w:pPr>
      <w:r>
        <w:rPr>
          <w:sz w:val="22"/>
        </w:rPr>
        <w:t>Report explicitly states "LIMITED EXAMINATION" with reason</w:t>
      </w:r>
    </w:p>
    <w:p>
      <w:pPr>
        <w:pStyle w:val="Heading2"/>
        <w:spacing w:before="360" w:after="120"/>
      </w:pPr>
      <w:r>
        <w:rPr>
          <w:b/>
          <w:sz w:val="28"/>
          <w:color w:val="004D78"/>
        </w:rPr>
        <w:t>10.5 Follow-up Pregnancy Ultrasound (CPT 76816)</w:t>
      </w:r>
    </w:p>
    <w:p>
      <w:pPr>
        <w:pStyle w:val="Heading3"/>
        <w:spacing w:before="240" w:after="80"/>
      </w:pPr>
      <w:r>
        <w:rPr>
          <w:b/>
          <w:sz w:val="24"/>
          <w:color w:val="2A2A2A"/>
        </w:rPr>
        <w:t>Indications</w:t>
      </w:r>
    </w:p>
    <w:p>
      <w:pPr>
        <w:numPr>
          <w:ilvl w:val="0"/>
          <w:numId w:val="1"/>
        </w:numPr>
        <w:spacing w:after="60"/>
      </w:pPr>
      <w:r>
        <w:rPr>
          <w:sz w:val="22"/>
        </w:rPr>
        <w:t>Re-evaluation of previously identified finding</w:t>
      </w:r>
    </w:p>
    <w:p>
      <w:pPr>
        <w:numPr>
          <w:ilvl w:val="0"/>
          <w:numId w:val="1"/>
        </w:numPr>
        <w:spacing w:after="60"/>
      </w:pPr>
      <w:r>
        <w:rPr>
          <w:sz w:val="22"/>
        </w:rPr>
        <w:t>Interval growth assessment</w:t>
      </w:r>
    </w:p>
    <w:p>
      <w:pPr>
        <w:numPr>
          <w:ilvl w:val="0"/>
          <w:numId w:val="1"/>
        </w:numPr>
        <w:spacing w:after="60"/>
      </w:pPr>
      <w:r>
        <w:rPr>
          <w:sz w:val="22"/>
        </w:rPr>
        <w:t>Surveillance of known abnormality</w:t>
      </w:r>
    </w:p>
    <w:p>
      <w:pPr>
        <w:pStyle w:val="Heading3"/>
        <w:spacing w:before="240" w:after="80"/>
      </w:pPr>
      <w:r>
        <w:rPr>
          <w:b/>
          <w:sz w:val="24"/>
          <w:color w:val="2A2A2A"/>
        </w:rPr>
        <w:t>Required Documentation</w:t>
      </w:r>
    </w:p>
    <w:p>
      <w:pPr>
        <w:numPr>
          <w:ilvl w:val="0"/>
          <w:numId w:val="1"/>
        </w:numPr>
        <w:spacing w:after="60"/>
      </w:pPr>
      <w:r>
        <w:rPr>
          <w:sz w:val="22"/>
        </w:rPr>
        <w:t>Targeted re-evaluation of previously identified finding</w:t>
      </w:r>
    </w:p>
    <w:p>
      <w:pPr>
        <w:numPr>
          <w:ilvl w:val="0"/>
          <w:numId w:val="1"/>
        </w:numPr>
        <w:spacing w:after="60"/>
      </w:pPr>
      <w:r>
        <w:rPr>
          <w:sz w:val="22"/>
        </w:rPr>
        <w:t>Fetal biometry (BPD, HC, AC, FL, EFW)</w:t>
      </w:r>
    </w:p>
    <w:p>
      <w:pPr>
        <w:numPr>
          <w:ilvl w:val="0"/>
          <w:numId w:val="1"/>
        </w:numPr>
        <w:spacing w:after="60"/>
      </w:pPr>
      <w:r>
        <w:rPr>
          <w:sz w:val="22"/>
        </w:rPr>
        <w:t>Growth percentile calculation and interval growth</w:t>
      </w:r>
    </w:p>
    <w:p>
      <w:pPr>
        <w:numPr>
          <w:ilvl w:val="0"/>
          <w:numId w:val="1"/>
        </w:numPr>
        <w:spacing w:after="60"/>
      </w:pPr>
      <w:r>
        <w:rPr>
          <w:sz w:val="22"/>
        </w:rPr>
        <w:t>Amniotic fluid assessment</w:t>
      </w:r>
    </w:p>
    <w:p>
      <w:pPr>
        <w:numPr>
          <w:ilvl w:val="0"/>
          <w:numId w:val="1"/>
        </w:numPr>
        <w:spacing w:after="60"/>
      </w:pPr>
      <w:r>
        <w:rPr>
          <w:sz w:val="22"/>
        </w:rPr>
        <w:t>Placenta assessment</w:t>
      </w:r>
    </w:p>
    <w:p>
      <w:pPr>
        <w:numPr>
          <w:ilvl w:val="0"/>
          <w:numId w:val="1"/>
        </w:numPr>
        <w:spacing w:after="60"/>
      </w:pPr>
      <w:r>
        <w:rPr>
          <w:sz w:val="22"/>
        </w:rPr>
        <w:t>Comparison with prior study</w:t>
      </w:r>
    </w:p>
    <w:p>
      <w:r>
        <w:br w:type="page"/>
      </w:r>
    </w:p>
    <w:p>
      <w:pPr>
        <w:pStyle w:val="Heading1"/>
        <w:pBdr>
          <w:bottom w:val="single" w:sz="6" w:color="C9A856"/>
        </w:pBdr>
        <w:spacing w:before="480" w:after="240"/>
      </w:pPr>
      <w:r>
        <w:rPr>
          <w:b/>
          <w:sz w:val="36"/>
          <w:color w:val="003355"/>
        </w:rPr>
        <w:t>11. Patient Communication &amp; Documentation</w:t>
      </w:r>
    </w:p>
    <w:p>
      <w:pPr>
        <w:pStyle w:val="Heading2"/>
        <w:spacing w:before="360" w:after="120"/>
      </w:pPr>
      <w:r>
        <w:rPr>
          <w:b/>
          <w:sz w:val="28"/>
          <w:color w:val="004D78"/>
        </w:rPr>
        <w:t>11.1 Informed Consent</w:t>
      </w:r>
    </w:p>
    <w:p>
      <w:pPr>
        <w:spacing w:after="120" w:line="276" w:lineRule="auto"/>
      </w:pPr>
      <w:r>
        <w:rPr>
          <w:sz w:val="22"/>
        </w:rPr>
        <w:t>General consent for ultrasound is obtained at intake. Studies requiring additional consent:</w:t>
      </w:r>
    </w:p>
    <w:p>
      <w:pPr>
        <w:numPr>
          <w:ilvl w:val="0"/>
          <w:numId w:val="1"/>
        </w:numPr>
        <w:spacing w:after="60"/>
      </w:pPr>
      <w:r>
        <w:rPr>
          <w:sz w:val="22"/>
        </w:rPr>
        <w:t>Transvaginal ultrasound — separate verbal and written consent documented</w:t>
      </w:r>
    </w:p>
    <w:p>
      <w:pPr>
        <w:numPr>
          <w:ilvl w:val="0"/>
          <w:numId w:val="1"/>
        </w:numPr>
        <w:spacing w:after="60"/>
      </w:pPr>
      <w:r>
        <w:rPr>
          <w:sz w:val="22"/>
        </w:rPr>
        <w:t>OB studies — limitations of ultrasound for anomaly detection are discussed</w:t>
      </w:r>
    </w:p>
    <w:p>
      <w:pPr>
        <w:numPr>
          <w:ilvl w:val="0"/>
          <w:numId w:val="1"/>
        </w:numPr>
        <w:spacing w:after="60"/>
      </w:pPr>
      <w:r>
        <w:rPr>
          <w:sz w:val="22"/>
        </w:rPr>
        <w:t>Breast studies — chaperone consent documented</w:t>
      </w:r>
    </w:p>
    <w:p>
      <w:pPr>
        <w:pStyle w:val="Heading2"/>
        <w:spacing w:before="360" w:after="120"/>
      </w:pPr>
      <w:r>
        <w:rPr>
          <w:b/>
          <w:sz w:val="28"/>
          <w:color w:val="004D78"/>
        </w:rPr>
        <w:t>11.2 What Sonographers May Communicate</w:t>
      </w:r>
    </w:p>
    <w:p>
      <w:pPr>
        <w:numPr>
          <w:ilvl w:val="0"/>
          <w:numId w:val="1"/>
        </w:numPr>
        <w:spacing w:after="60"/>
      </w:pPr>
      <w:r>
        <w:rPr>
          <w:sz w:val="22"/>
        </w:rPr>
        <w:t>General reassurance regarding patient comfort</w:t>
      </w:r>
    </w:p>
    <w:p>
      <w:pPr>
        <w:numPr>
          <w:ilvl w:val="0"/>
          <w:numId w:val="1"/>
        </w:numPr>
        <w:spacing w:after="60"/>
      </w:pPr>
      <w:r>
        <w:rPr>
          <w:sz w:val="22"/>
        </w:rPr>
        <w:t>Expected timing of report</w:t>
      </w:r>
    </w:p>
    <w:p>
      <w:pPr>
        <w:numPr>
          <w:ilvl w:val="0"/>
          <w:numId w:val="1"/>
        </w:numPr>
        <w:spacing w:after="60"/>
      </w:pPr>
      <w:r>
        <w:rPr>
          <w:sz w:val="22"/>
        </w:rPr>
        <w:t>Logistical questions (where to wait, when to follow up)</w:t>
      </w:r>
    </w:p>
    <w:p>
      <w:pPr>
        <w:pStyle w:val="Heading2"/>
        <w:spacing w:before="360" w:after="120"/>
      </w:pPr>
      <w:r>
        <w:rPr>
          <w:b/>
          <w:sz w:val="28"/>
          <w:color w:val="004D78"/>
        </w:rPr>
        <w:t>11.3 What Sonographers Should NOT Communicate</w:t>
      </w:r>
    </w:p>
    <w:p>
      <w:pPr>
        <w:numPr>
          <w:ilvl w:val="0"/>
          <w:numId w:val="1"/>
        </w:numPr>
        <w:spacing w:after="60"/>
      </w:pPr>
      <w:r>
        <w:rPr>
          <w:sz w:val="22"/>
        </w:rPr>
        <w:t>Diagnostic findings or impressions</w:t>
      </w:r>
    </w:p>
    <w:p>
      <w:pPr>
        <w:numPr>
          <w:ilvl w:val="0"/>
          <w:numId w:val="1"/>
        </w:numPr>
        <w:spacing w:after="60"/>
      </w:pPr>
      <w:r>
        <w:rPr>
          <w:sz w:val="22"/>
        </w:rPr>
        <w:t>Interpretation of images</w:t>
      </w:r>
    </w:p>
    <w:p>
      <w:pPr>
        <w:numPr>
          <w:ilvl w:val="0"/>
          <w:numId w:val="1"/>
        </w:numPr>
        <w:spacing w:after="60"/>
      </w:pPr>
      <w:r>
        <w:rPr>
          <w:sz w:val="22"/>
        </w:rPr>
        <w:t>Predictions about pregnancy outcome</w:t>
      </w:r>
    </w:p>
    <w:p>
      <w:pPr>
        <w:numPr>
          <w:ilvl w:val="0"/>
          <w:numId w:val="1"/>
        </w:numPr>
        <w:spacing w:after="60"/>
      </w:pPr>
      <w:r>
        <w:rPr>
          <w:sz w:val="22"/>
        </w:rPr>
        <w:t>Treatment recommendations</w:t>
      </w:r>
    </w:p>
    <w:p>
      <w:pPr>
        <w:spacing w:after="120" w:line="276" w:lineRule="auto"/>
      </w:pPr>
      <w:r>
        <w:rPr>
          <w:sz w:val="22"/>
        </w:rPr>
        <w:t>For all such questions, refer patient to physician-interpreted report or to their managing physician.</w:t>
      </w:r>
    </w:p>
    <w:p>
      <w:pPr>
        <w:pStyle w:val="Heading2"/>
        <w:spacing w:before="360" w:after="120"/>
      </w:pPr>
      <w:r>
        <w:rPr>
          <w:b/>
          <w:sz w:val="28"/>
          <w:color w:val="004D78"/>
        </w:rPr>
        <w:t>11.4 Image Delivery to Patients</w:t>
      </w:r>
    </w:p>
    <w:p>
      <w:pPr>
        <w:spacing w:after="120" w:line="276" w:lineRule="auto"/>
      </w:pPr>
      <w:r>
        <w:rPr>
          <w:sz w:val="22"/>
        </w:rPr>
        <w:t>Patients may receive copies of images via:</w:t>
      </w:r>
    </w:p>
    <w:p>
      <w:pPr>
        <w:numPr>
          <w:ilvl w:val="0"/>
          <w:numId w:val="1"/>
        </w:numPr>
        <w:spacing w:after="60"/>
      </w:pPr>
      <w:r>
        <w:rPr>
          <w:sz w:val="22"/>
        </w:rPr>
        <w:t>Printed thermal images (limited number, included in fee)</w:t>
      </w:r>
    </w:p>
    <w:p>
      <w:pPr>
        <w:numPr>
          <w:ilvl w:val="0"/>
          <w:numId w:val="1"/>
        </w:numPr>
        <w:spacing w:after="60"/>
      </w:pPr>
      <w:r>
        <w:rPr>
          <w:sz w:val="22"/>
        </w:rPr>
        <w:t>USB drive (additional fee may apply)</w:t>
      </w:r>
    </w:p>
    <w:p>
      <w:pPr>
        <w:numPr>
          <w:ilvl w:val="0"/>
          <w:numId w:val="1"/>
        </w:numPr>
        <w:spacing w:after="60"/>
      </w:pPr>
      <w:r>
        <w:rPr>
          <w:sz w:val="22"/>
        </w:rPr>
        <w:t>Secure electronic delivery</w:t>
      </w:r>
    </w:p>
    <w:p>
      <w:pPr>
        <w:spacing w:after="120" w:line="276" w:lineRule="auto"/>
      </w:pPr>
      <w:r>
        <w:rPr>
          <w:sz w:val="22"/>
        </w:rPr>
        <w:t>Image delivery to patients does NOT include the physician interpretation; this is delivered separately as the formal report.</w:t>
      </w:r>
    </w:p>
    <w:p>
      <w:pPr>
        <w:pStyle w:val="Heading2"/>
        <w:spacing w:before="360" w:after="120"/>
      </w:pPr>
      <w:r>
        <w:rPr>
          <w:b/>
          <w:sz w:val="28"/>
          <w:color w:val="004D78"/>
        </w:rPr>
        <w:t>11.5 Image Archive</w:t>
      </w:r>
    </w:p>
    <w:p>
      <w:pPr>
        <w:numPr>
          <w:ilvl w:val="0"/>
          <w:numId w:val="1"/>
        </w:numPr>
        <w:spacing w:after="60"/>
      </w:pPr>
      <w:r>
        <w:rPr>
          <w:sz w:val="22"/>
        </w:rPr>
        <w:t>All studies are archived in HIPAA-compliant PACS or equivalent storage</w:t>
      </w:r>
    </w:p>
    <w:p>
      <w:pPr>
        <w:numPr>
          <w:ilvl w:val="0"/>
          <w:numId w:val="1"/>
        </w:numPr>
        <w:spacing w:after="60"/>
      </w:pPr>
      <w:r>
        <w:rPr>
          <w:sz w:val="22"/>
        </w:rPr>
        <w:t>Retention period: minimum 7 years from date of study (longer for pediatric studies per state law)</w:t>
      </w:r>
    </w:p>
    <w:p>
      <w:pPr>
        <w:numPr>
          <w:ilvl w:val="0"/>
          <w:numId w:val="1"/>
        </w:numPr>
        <w:spacing w:after="60"/>
      </w:pPr>
      <w:r>
        <w:rPr>
          <w:sz w:val="22"/>
        </w:rPr>
        <w:t>OB studies: retention through age of majority plus statute of limitations period</w:t>
      </w:r>
    </w:p>
    <w:p>
      <w:r>
        <w:br w:type="page"/>
      </w:r>
    </w:p>
    <w:p>
      <w:pPr>
        <w:pStyle w:val="Heading1"/>
        <w:pBdr>
          <w:bottom w:val="single" w:sz="6" w:color="C9A856"/>
        </w:pBdr>
        <w:spacing w:before="480" w:after="240"/>
      </w:pPr>
      <w:r>
        <w:rPr>
          <w:b/>
          <w:sz w:val="36"/>
          <w:color w:val="003355"/>
        </w:rPr>
        <w:t>12. Appendices</w:t>
      </w:r>
    </w:p>
    <w:p>
      <w:pPr>
        <w:pStyle w:val="Heading2"/>
        <w:spacing w:before="360" w:after="120"/>
      </w:pPr>
      <w:r>
        <w:rPr>
          <w:b/>
          <w:sz w:val="28"/>
          <w:color w:val="004D78"/>
        </w:rPr>
        <w:t>Appendix A: Key AIUM Practice Parameters</w:t>
      </w:r>
    </w:p>
    <w:p>
      <w:pPr>
        <w:spacing w:after="120" w:line="276" w:lineRule="auto"/>
      </w:pPr>
      <w:r>
        <w:rPr>
          <w:sz w:val="22"/>
        </w:rPr>
        <w:t>Sonographers and interpreting physicians should be familiar with and have access to the current versions of:</w:t>
      </w:r>
    </w:p>
    <w:p>
      <w:pPr>
        <w:numPr>
          <w:ilvl w:val="0"/>
          <w:numId w:val="1"/>
        </w:numPr>
        <w:spacing w:after="60"/>
      </w:pPr>
      <w:r>
        <w:rPr>
          <w:sz w:val="22"/>
        </w:rPr>
        <w:t>AIUM Practice Parameter for the Performance of Diagnostic and Screening Ultrasound Examinations</w:t>
      </w:r>
    </w:p>
    <w:p>
      <w:pPr>
        <w:numPr>
          <w:ilvl w:val="0"/>
          <w:numId w:val="1"/>
        </w:numPr>
        <w:spacing w:after="60"/>
      </w:pPr>
      <w:r>
        <w:rPr>
          <w:sz w:val="22"/>
        </w:rPr>
        <w:t>AIUM Practice Parameter for the Performance of an Ultrasound Examination of the Abdomen</w:t>
      </w:r>
    </w:p>
    <w:p>
      <w:pPr>
        <w:numPr>
          <w:ilvl w:val="0"/>
          <w:numId w:val="1"/>
        </w:numPr>
        <w:spacing w:after="60"/>
      </w:pPr>
      <w:r>
        <w:rPr>
          <w:sz w:val="22"/>
        </w:rPr>
        <w:t>AIUM Practice Parameter for the Performance of Pelvic Ultrasound Examinations</w:t>
      </w:r>
    </w:p>
    <w:p>
      <w:pPr>
        <w:numPr>
          <w:ilvl w:val="0"/>
          <w:numId w:val="1"/>
        </w:numPr>
        <w:spacing w:after="60"/>
      </w:pPr>
      <w:r>
        <w:rPr>
          <w:sz w:val="22"/>
        </w:rPr>
        <w:t>AIUM Practice Parameter for the Performance of Standard Obstetric Ultrasound Examinations</w:t>
      </w:r>
    </w:p>
    <w:p>
      <w:pPr>
        <w:numPr>
          <w:ilvl w:val="0"/>
          <w:numId w:val="1"/>
        </w:numPr>
        <w:spacing w:after="60"/>
      </w:pPr>
      <w:r>
        <w:rPr>
          <w:sz w:val="22"/>
        </w:rPr>
        <w:t>AIUM Practice Parameter for the Performance of an Obstetric Ultrasound Examination of First-Trimester Pregnancy</w:t>
      </w:r>
    </w:p>
    <w:p>
      <w:pPr>
        <w:numPr>
          <w:ilvl w:val="0"/>
          <w:numId w:val="1"/>
        </w:numPr>
        <w:spacing w:after="60"/>
      </w:pPr>
      <w:r>
        <w:rPr>
          <w:sz w:val="22"/>
        </w:rPr>
        <w:t>AIUM Practice Parameter for the Performance of Detailed Second- and Third-Trimester Diagnostic Obstetric Ultrasound Examinations</w:t>
      </w:r>
    </w:p>
    <w:p>
      <w:pPr>
        <w:numPr>
          <w:ilvl w:val="0"/>
          <w:numId w:val="1"/>
        </w:numPr>
        <w:spacing w:after="60"/>
      </w:pPr>
      <w:r>
        <w:rPr>
          <w:sz w:val="22"/>
        </w:rPr>
        <w:t>AIUM Practice Parameter for the Performance of an Ultrasound Examination of the Breast and Axilla</w:t>
      </w:r>
    </w:p>
    <w:p>
      <w:pPr>
        <w:numPr>
          <w:ilvl w:val="0"/>
          <w:numId w:val="1"/>
        </w:numPr>
        <w:spacing w:after="60"/>
      </w:pPr>
      <w:r>
        <w:rPr>
          <w:sz w:val="22"/>
        </w:rPr>
        <w:t>AIUM Practice Parameter for the Performance of a Thyroid and Parathyroid Ultrasound Examination</w:t>
      </w:r>
    </w:p>
    <w:p>
      <w:pPr>
        <w:numPr>
          <w:ilvl w:val="0"/>
          <w:numId w:val="1"/>
        </w:numPr>
        <w:spacing w:after="60"/>
      </w:pPr>
      <w:r>
        <w:rPr>
          <w:sz w:val="22"/>
        </w:rPr>
        <w:t>AIUM Practice Parameter for the Performance of a Renal Ultrasound Examination</w:t>
      </w:r>
    </w:p>
    <w:p>
      <w:pPr>
        <w:numPr>
          <w:ilvl w:val="0"/>
          <w:numId w:val="1"/>
        </w:numPr>
        <w:spacing w:after="60"/>
      </w:pPr>
      <w:r>
        <w:rPr>
          <w:sz w:val="22"/>
        </w:rPr>
        <w:t>AIUM Practice Parameter for the Performance of Adult Echocardiography</w:t>
      </w:r>
    </w:p>
    <w:p>
      <w:pPr>
        <w:numPr>
          <w:ilvl w:val="0"/>
          <w:numId w:val="1"/>
        </w:numPr>
        <w:spacing w:after="60"/>
      </w:pPr>
      <w:r>
        <w:rPr>
          <w:sz w:val="22"/>
        </w:rPr>
        <w:t>AIUM Practice Parameter for the Performance of Peripheral Arterial Ultrasound Examinations Using Color and Spectral Doppler</w:t>
      </w:r>
    </w:p>
    <w:p>
      <w:pPr>
        <w:numPr>
          <w:ilvl w:val="0"/>
          <w:numId w:val="1"/>
        </w:numPr>
        <w:spacing w:after="60"/>
      </w:pPr>
      <w:r>
        <w:rPr>
          <w:sz w:val="22"/>
        </w:rPr>
        <w:t>AIUM Practice Parameter for the Performance of an Ultrasound Examination of the Extracranial Cerebrovascular System</w:t>
      </w:r>
    </w:p>
    <w:p>
      <w:pPr>
        <w:numPr>
          <w:ilvl w:val="0"/>
          <w:numId w:val="1"/>
        </w:numPr>
        <w:spacing w:after="60"/>
      </w:pPr>
      <w:r>
        <w:rPr>
          <w:sz w:val="22"/>
        </w:rPr>
        <w:t>AIUM Guidelines for Cleaning and Preparing External- and Internal-Use Ultrasound Transducers</w:t>
      </w:r>
    </w:p>
    <w:p>
      <w:pPr>
        <w:pStyle w:val="Heading2"/>
        <w:spacing w:before="360" w:after="120"/>
      </w:pPr>
      <w:r>
        <w:rPr>
          <w:b/>
          <w:sz w:val="28"/>
          <w:color w:val="004D78"/>
        </w:rPr>
        <w:t>Appendix B: Sonographer Competency Checklist</w:t>
      </w:r>
    </w:p>
    <w:p>
      <w:pPr>
        <w:spacing w:after="120" w:line="276" w:lineRule="auto"/>
      </w:pPr>
      <w:r>
        <w:rPr>
          <w:sz w:val="22"/>
        </w:rPr>
        <w:t>Each sonographer maintains a current competency record including:</w:t>
      </w:r>
    </w:p>
    <w:p>
      <w:pPr>
        <w:numPr>
          <w:ilvl w:val="0"/>
          <w:numId w:val="1"/>
        </w:numPr>
        <w:spacing w:after="60"/>
      </w:pPr>
      <w:r>
        <w:rPr>
          <w:sz w:val="22"/>
        </w:rPr>
        <w:t>ARDMS credentials (active status verified annually)</w:t>
      </w:r>
    </w:p>
    <w:p>
      <w:pPr>
        <w:numPr>
          <w:ilvl w:val="0"/>
          <w:numId w:val="1"/>
        </w:numPr>
        <w:spacing w:after="60"/>
      </w:pPr>
      <w:r>
        <w:rPr>
          <w:sz w:val="22"/>
        </w:rPr>
        <w:t>BLS certification (current)</w:t>
      </w:r>
    </w:p>
    <w:p>
      <w:pPr>
        <w:numPr>
          <w:ilvl w:val="0"/>
          <w:numId w:val="1"/>
        </w:numPr>
        <w:spacing w:after="60"/>
      </w:pPr>
      <w:r>
        <w:rPr>
          <w:sz w:val="22"/>
        </w:rPr>
        <w:t>HIPAA training (annual)</w:t>
      </w:r>
    </w:p>
    <w:p>
      <w:pPr>
        <w:numPr>
          <w:ilvl w:val="0"/>
          <w:numId w:val="1"/>
        </w:numPr>
        <w:spacing w:after="60"/>
      </w:pPr>
      <w:r>
        <w:rPr>
          <w:sz w:val="22"/>
        </w:rPr>
        <w:t>Infection control training (annual)</w:t>
      </w:r>
    </w:p>
    <w:p>
      <w:pPr>
        <w:numPr>
          <w:ilvl w:val="0"/>
          <w:numId w:val="1"/>
        </w:numPr>
        <w:spacing w:after="60"/>
      </w:pPr>
      <w:r>
        <w:rPr>
          <w:sz w:val="22"/>
        </w:rPr>
        <w:t>Equipment-specific training documentation</w:t>
      </w:r>
    </w:p>
    <w:p>
      <w:pPr>
        <w:numPr>
          <w:ilvl w:val="0"/>
          <w:numId w:val="1"/>
        </w:numPr>
        <w:spacing w:after="60"/>
      </w:pPr>
      <w:r>
        <w:rPr>
          <w:sz w:val="22"/>
        </w:rPr>
        <w:t>Continuing medical education (per ARDMS requirements)</w:t>
      </w:r>
    </w:p>
    <w:p>
      <w:pPr>
        <w:numPr>
          <w:ilvl w:val="0"/>
          <w:numId w:val="1"/>
        </w:numPr>
        <w:spacing w:after="60"/>
      </w:pPr>
      <w:r>
        <w:rPr>
          <w:sz w:val="22"/>
        </w:rPr>
        <w:t>Peer review participation log</w:t>
      </w:r>
    </w:p>
    <w:p>
      <w:pPr>
        <w:numPr>
          <w:ilvl w:val="0"/>
          <w:numId w:val="1"/>
        </w:numPr>
        <w:spacing w:after="60"/>
      </w:pPr>
      <w:r>
        <w:rPr>
          <w:sz w:val="22"/>
        </w:rPr>
        <w:t>Annual performance review by Medical Director</w:t>
      </w:r>
    </w:p>
    <w:p>
      <w:pPr>
        <w:pStyle w:val="Heading2"/>
        <w:spacing w:before="360" w:after="120"/>
      </w:pPr>
      <w:r>
        <w:rPr>
          <w:b/>
          <w:sz w:val="28"/>
          <w:color w:val="004D78"/>
        </w:rPr>
        <w:t>Appendix C: Document Revision Log</w:t>
      </w:r>
    </w:p>
    <w:p>
      <w:pPr>
        <w:spacing w:after="120" w:line="276" w:lineRule="auto"/>
      </w:pPr>
      <w:r>
        <w:rPr>
          <w:sz w:val="22"/>
        </w:rPr>
        <w:t>Version 1.0 — June 2026 — Initial document creation.</w:t>
      </w:r>
    </w:p>
    <w:p>
      <w:pPr>
        <w:spacing w:after="120" w:line="276" w:lineRule="auto"/>
      </w:pPr>
      <w:r>
        <w:rPr>
          <w:sz w:val="22"/>
        </w:rPr>
        <w:t>Future revisions logged with version number, date, author, and summary of changes.</w:t>
      </w:r>
    </w:p>
    <w:p>
      <w:pPr>
        <w:pStyle w:val="Heading2"/>
        <w:spacing w:before="360" w:after="120"/>
      </w:pPr>
      <w:r>
        <w:rPr>
          <w:b/>
          <w:sz w:val="28"/>
          <w:color w:val="004D78"/>
        </w:rPr>
        <w:t>End of Document</w:t>
      </w:r>
    </w:p>
    <w:p>
      <w:pPr>
        <w:spacing w:after="120" w:line="276" w:lineRule="auto"/>
      </w:pPr>
      <w:r>
        <w:rPr>
          <w:sz w:val="22"/>
        </w:rPr>
        <w:t>This document is the property of Signal View Screening Services. Distribution is limited to authorized personnel. Questions about these protocols should be directed to the Medical Director or Director of Operations.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