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DE1AB8"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DE1AB8" w:rsidP="00380932">
      <w:r>
        <w:lastRenderedPageBreak/>
        <w:pict>
          <v:shape id="_x0000_i1026" type="#_x0000_t75" style="width:414.75pt;height:240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DE1AB8" w:rsidP="00380932">
      <w:r>
        <w:pict>
          <v:shape id="_x0000_i1027" type="#_x0000_t75" style="width:415.5pt;height:237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F31414">
        <w:t>16</w:t>
      </w:r>
      <w:r w:rsidR="00F31414">
        <w:rPr>
          <w:rFonts w:hint="eastAsia"/>
        </w:rPr>
        <w:t>.</w:t>
      </w:r>
      <w:r w:rsidR="00F31414">
        <w:t>1</w:t>
      </w:r>
      <w:r w:rsidR="00DC3B28">
        <w:rPr>
          <w:rFonts w:hint="eastAsia"/>
        </w:rPr>
        <w:t>万亿客公里。年报同时</w:t>
      </w:r>
      <w:r w:rsidR="00F46D4A">
        <w:rPr>
          <w:rFonts w:hint="eastAsia"/>
        </w:rPr>
        <w:t>指</w:t>
      </w:r>
      <w:r w:rsidR="00F46D4A">
        <w:rPr>
          <w:rFonts w:hint="eastAsia"/>
        </w:rPr>
        <w:lastRenderedPageBreak/>
        <w:t>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F31414">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31414">
        <w:t>7</w:t>
      </w:r>
      <w:r w:rsidR="00F46D4A">
        <w:rPr>
          <w:rFonts w:hint="eastAsia"/>
        </w:rPr>
        <w:t>万亿客公里</w:t>
      </w:r>
      <w:r w:rsidR="00F31414">
        <w:rPr>
          <w:rFonts w:hint="eastAsia"/>
        </w:rPr>
        <w:t>，占全球的</w:t>
      </w:r>
      <w:r w:rsidR="00F31414">
        <w:rPr>
          <w:rFonts w:hint="eastAsia"/>
        </w:rPr>
        <w:t>16.</w:t>
      </w:r>
      <w:r w:rsidR="00F31414">
        <w:t>8</w:t>
      </w:r>
      <w:r w:rsidR="00F31414">
        <w:rPr>
          <w:rFonts w:hint="eastAsia"/>
        </w:rPr>
        <w:t>%</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w:t>
      </w:r>
      <w:r w:rsidR="00F31414">
        <w:rPr>
          <w:rFonts w:hint="eastAsia"/>
        </w:rPr>
        <w:t>场面运行</w:t>
      </w:r>
      <w:r>
        <w:rPr>
          <w:rFonts w:hint="eastAsia"/>
        </w:rPr>
        <w:t>。本章对机场物理布局中的各个关键部位进行介绍，</w:t>
      </w:r>
      <w:r w:rsidR="00F31414">
        <w:rPr>
          <w:rFonts w:hint="eastAsia"/>
        </w:rPr>
        <w:t>对航空器场面运行的关键时间和关键位置进行介绍</w:t>
      </w:r>
      <w:r>
        <w:rPr>
          <w:rFonts w:hint="eastAsia"/>
        </w:rPr>
        <w:t>。提出场面航班数这一指标的计算方法和分布特性，确定机场场面运行拥挤状态的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pPr>
            <w:r>
              <w:rPr>
                <w:rFonts w:hint="eastAsia"/>
              </w:rPr>
              <w:t>数字部分</w:t>
            </w:r>
          </w:p>
        </w:tc>
        <w:tc>
          <w:tcPr>
            <w:tcW w:w="2232" w:type="dxa"/>
          </w:tcPr>
          <w:p w:rsidR="000A278E" w:rsidRDefault="008842D2" w:rsidP="00444D7C">
            <w:pPr>
              <w:ind w:firstLineChars="0" w:firstLine="0"/>
            </w:pPr>
            <w:r>
              <w:rPr>
                <w:rFonts w:hint="eastAsia"/>
              </w:rPr>
              <w:t>跑道长度（米）</w:t>
            </w:r>
          </w:p>
        </w:tc>
        <w:tc>
          <w:tcPr>
            <w:tcW w:w="745" w:type="dxa"/>
          </w:tcPr>
          <w:p w:rsidR="000A278E" w:rsidRDefault="008842D2" w:rsidP="00444D7C">
            <w:pPr>
              <w:ind w:firstLineChars="0" w:firstLine="0"/>
            </w:pPr>
            <w:r>
              <w:rPr>
                <w:rFonts w:hint="eastAsia"/>
              </w:rPr>
              <w:t>字母部分</w:t>
            </w:r>
          </w:p>
        </w:tc>
        <w:tc>
          <w:tcPr>
            <w:tcW w:w="2126" w:type="dxa"/>
          </w:tcPr>
          <w:p w:rsidR="000A278E" w:rsidRDefault="008842D2" w:rsidP="00444D7C">
            <w:pPr>
              <w:ind w:firstLineChars="0" w:firstLine="0"/>
            </w:pPr>
            <w:r>
              <w:rPr>
                <w:rFonts w:hint="eastAsia"/>
              </w:rPr>
              <w:t>翼展（米）</w:t>
            </w:r>
          </w:p>
        </w:tc>
        <w:tc>
          <w:tcPr>
            <w:tcW w:w="2489" w:type="dxa"/>
          </w:tcPr>
          <w:p w:rsidR="000A278E" w:rsidRDefault="008842D2" w:rsidP="00444D7C">
            <w:pPr>
              <w:ind w:firstLineChars="0" w:firstLine="0"/>
            </w:pPr>
            <w:r>
              <w:rPr>
                <w:rFonts w:hint="eastAsia"/>
              </w:rPr>
              <w:t>主起落架外轮外侧边间距（米）</w:t>
            </w:r>
          </w:p>
        </w:tc>
      </w:tr>
      <w:tr w:rsidR="000A278E" w:rsidTr="009642EC">
        <w:tc>
          <w:tcPr>
            <w:tcW w:w="704" w:type="dxa"/>
          </w:tcPr>
          <w:p w:rsidR="000A278E" w:rsidRDefault="0074040C" w:rsidP="00444D7C">
            <w:pPr>
              <w:ind w:firstLineChars="0" w:firstLine="0"/>
            </w:pPr>
            <w:r>
              <w:rPr>
                <w:rFonts w:hint="eastAsia"/>
              </w:rPr>
              <w:t>1</w:t>
            </w:r>
          </w:p>
        </w:tc>
        <w:tc>
          <w:tcPr>
            <w:tcW w:w="2232" w:type="dxa"/>
          </w:tcPr>
          <w:p w:rsidR="000A278E" w:rsidRDefault="0074040C" w:rsidP="00444D7C">
            <w:pPr>
              <w:ind w:firstLineChars="0" w:firstLine="0"/>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pPr>
            <w:r>
              <w:rPr>
                <w:rFonts w:hint="eastAsia"/>
              </w:rPr>
              <w:t>A</w:t>
            </w:r>
          </w:p>
        </w:tc>
        <w:tc>
          <w:tcPr>
            <w:tcW w:w="2126" w:type="dxa"/>
          </w:tcPr>
          <w:p w:rsidR="000A278E" w:rsidRDefault="0074040C" w:rsidP="00444D7C">
            <w:pPr>
              <w:ind w:firstLineChars="0" w:firstLine="0"/>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pPr>
            <w:r>
              <w:rPr>
                <w:rFonts w:hint="eastAsia"/>
              </w:rPr>
              <w:t>2</w:t>
            </w:r>
          </w:p>
        </w:tc>
        <w:tc>
          <w:tcPr>
            <w:tcW w:w="2232" w:type="dxa"/>
          </w:tcPr>
          <w:p w:rsidR="0074040C" w:rsidRDefault="0074040C" w:rsidP="0074040C">
            <w:pPr>
              <w:ind w:firstLineChars="0" w:firstLine="0"/>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pPr>
            <w:r>
              <w:rPr>
                <w:rFonts w:hint="eastAsia"/>
              </w:rPr>
              <w:t>B</w:t>
            </w:r>
          </w:p>
        </w:tc>
        <w:tc>
          <w:tcPr>
            <w:tcW w:w="2126" w:type="dxa"/>
          </w:tcPr>
          <w:p w:rsidR="0074040C" w:rsidRDefault="0074040C" w:rsidP="0074040C">
            <w:pPr>
              <w:ind w:firstLineChars="0" w:firstLine="0"/>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pPr>
            <w:r>
              <w:rPr>
                <w:rFonts w:hint="eastAsia"/>
              </w:rPr>
              <w:t>3</w:t>
            </w:r>
          </w:p>
        </w:tc>
        <w:tc>
          <w:tcPr>
            <w:tcW w:w="2232" w:type="dxa"/>
          </w:tcPr>
          <w:p w:rsidR="0074040C" w:rsidRDefault="0074040C" w:rsidP="0074040C">
            <w:pPr>
              <w:ind w:firstLineChars="0" w:firstLine="0"/>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pPr>
            <w:r>
              <w:rPr>
                <w:rFonts w:hint="eastAsia"/>
              </w:rPr>
              <w:t>C</w:t>
            </w:r>
          </w:p>
        </w:tc>
        <w:tc>
          <w:tcPr>
            <w:tcW w:w="2126" w:type="dxa"/>
          </w:tcPr>
          <w:p w:rsidR="0074040C" w:rsidRDefault="0074040C" w:rsidP="0074040C">
            <w:pPr>
              <w:ind w:firstLineChars="0" w:firstLine="0"/>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pPr>
            <w:r>
              <w:rPr>
                <w:rFonts w:hint="eastAsia"/>
              </w:rPr>
              <w:t>4</w:t>
            </w:r>
          </w:p>
        </w:tc>
        <w:tc>
          <w:tcPr>
            <w:tcW w:w="2232" w:type="dxa"/>
          </w:tcPr>
          <w:p w:rsidR="0074040C" w:rsidRDefault="0074040C" w:rsidP="0074040C">
            <w:pPr>
              <w:ind w:firstLineChars="0" w:firstLine="0"/>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pPr>
            <w:r>
              <w:rPr>
                <w:rFonts w:hint="eastAsia"/>
              </w:rPr>
              <w:t>D</w:t>
            </w:r>
          </w:p>
        </w:tc>
        <w:tc>
          <w:tcPr>
            <w:tcW w:w="2126" w:type="dxa"/>
          </w:tcPr>
          <w:p w:rsidR="0074040C" w:rsidRDefault="0074040C" w:rsidP="0074040C">
            <w:pPr>
              <w:ind w:firstLineChars="0" w:firstLine="0"/>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E</w:t>
            </w:r>
          </w:p>
        </w:tc>
        <w:tc>
          <w:tcPr>
            <w:tcW w:w="2126" w:type="dxa"/>
          </w:tcPr>
          <w:p w:rsidR="0074040C" w:rsidRDefault="0074040C" w:rsidP="0074040C">
            <w:pPr>
              <w:ind w:firstLineChars="0" w:firstLine="0"/>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F</w:t>
            </w:r>
          </w:p>
        </w:tc>
        <w:tc>
          <w:tcPr>
            <w:tcW w:w="2126" w:type="dxa"/>
          </w:tcPr>
          <w:p w:rsidR="0074040C" w:rsidRDefault="0074040C" w:rsidP="0074040C">
            <w:pPr>
              <w:ind w:firstLineChars="0" w:firstLine="0"/>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w:t>
      </w:r>
      <w:r w:rsidR="00F94E32">
        <w:rPr>
          <w:rFonts w:hint="eastAsia"/>
        </w:rPr>
        <w:t>流程</w:t>
      </w:r>
    </w:p>
    <w:p w:rsidR="00F715D0" w:rsidRDefault="00F54D35" w:rsidP="00F715D0">
      <w:r>
        <w:rPr>
          <w:rFonts w:hint="eastAsia"/>
        </w:rPr>
        <w:t>机场场面拥挤问题分析的关键，在于寻找场面运行中可供观测的变量，作为机场场面是否处于拥挤状态的指标</w:t>
      </w:r>
      <w:r w:rsidR="005C07F4">
        <w:rPr>
          <w:rFonts w:hint="eastAsia"/>
        </w:rPr>
        <w:t>。观测在拥挤指标变化时，机场空侧部分运行参数的变化，以判断场面拥挤的阀值。例如，滑行时间增大、场面某节点通过时间增大、待推出航班数增大以及波道拥挤等现象，能够说明机场场面处于拥挤的状态。</w:t>
      </w:r>
      <w:r w:rsidR="005A1E5E">
        <w:rPr>
          <w:rFonts w:hint="eastAsia"/>
        </w:rPr>
        <w:t>在定义拥挤指标之前，首先对场面运行的流程进行描述，如图</w:t>
      </w:r>
      <w:r w:rsidR="005A1E5E">
        <w:rPr>
          <w:rFonts w:hint="eastAsia"/>
        </w:rPr>
        <w:t>2-</w:t>
      </w:r>
      <w:r w:rsidR="005A1E5E">
        <w:t>1</w:t>
      </w:r>
      <w:r w:rsidR="005A1E5E">
        <w:rPr>
          <w:rFonts w:hint="eastAsia"/>
        </w:rPr>
        <w:t>所示。</w:t>
      </w:r>
    </w:p>
    <w:p w:rsidR="00F715D0" w:rsidRPr="00F54D35" w:rsidRDefault="00F715D0" w:rsidP="00F715D0"/>
    <w:p w:rsidR="00F715D0" w:rsidRDefault="00F715D0" w:rsidP="00F715D0">
      <w:r>
        <w:object w:dxaOrig="15007" w:dyaOrig="10071">
          <v:shape id="_x0000_i1028" type="#_x0000_t75" style="width:366.75pt;height:250.5pt" o:ole="">
            <v:imagedata r:id="rId10" o:title="" cropright="1025f"/>
          </v:shape>
          <o:OLEObject Type="Embed" ProgID="Visio.Drawing.15" ShapeID="_x0000_i1028" DrawAspect="Content" ObjectID="_1544280106" r:id="rId11"/>
        </w:object>
      </w:r>
    </w:p>
    <w:p w:rsidR="00F715D0" w:rsidRDefault="00F715D0" w:rsidP="00F715D0">
      <w:r>
        <w:rPr>
          <w:rFonts w:hint="eastAsia"/>
        </w:rPr>
        <w:t>图</w:t>
      </w:r>
      <w:r>
        <w:rPr>
          <w:rFonts w:hint="eastAsia"/>
        </w:rPr>
        <w:t>2-</w:t>
      </w:r>
      <w:r>
        <w:t xml:space="preserve">1 </w:t>
      </w:r>
      <w:r>
        <w:rPr>
          <w:rFonts w:hint="eastAsia"/>
        </w:rPr>
        <w:t>场面运行流程图</w:t>
      </w:r>
    </w:p>
    <w:p w:rsidR="005A1E5E" w:rsidRPr="00F715D0" w:rsidRDefault="005A1E5E" w:rsidP="00F715D0"/>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w:t>
      </w:r>
      <w:r>
        <w:rPr>
          <w:rFonts w:hint="eastAsia"/>
        </w:rPr>
        <w:lastRenderedPageBreak/>
        <w:t>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1E7F21" w:rsidRDefault="001E7F21" w:rsidP="005D2407"/>
    <w:p w:rsidR="000431A8" w:rsidRDefault="000431A8" w:rsidP="000431A8">
      <w:pPr>
        <w:jc w:val="center"/>
      </w:pPr>
      <w:r>
        <w:object w:dxaOrig="9698" w:dyaOrig="3047">
          <v:shape id="_x0000_i1029" type="#_x0000_t75" style="width:332.25pt;height:104.25pt" o:ole="">
            <v:imagedata r:id="rId12" o:title=""/>
          </v:shape>
          <o:OLEObject Type="Embed" ProgID="Visio.Drawing.15" ShapeID="_x0000_i1029" DrawAspect="Content" ObjectID="_1544280107" r:id="rId13"/>
        </w:object>
      </w:r>
    </w:p>
    <w:p w:rsidR="000431A8" w:rsidRDefault="000431A8" w:rsidP="000431A8">
      <w:pPr>
        <w:jc w:val="center"/>
      </w:pPr>
      <w:r>
        <w:rPr>
          <w:rFonts w:hint="eastAsia"/>
        </w:rPr>
        <w:t>图</w:t>
      </w:r>
      <w:r>
        <w:rPr>
          <w:rFonts w:hint="eastAsia"/>
        </w:rPr>
        <w:t>2-</w:t>
      </w:r>
      <w:r w:rsidR="003A78C2">
        <w:t>2</w:t>
      </w:r>
      <w:r>
        <w:t xml:space="preserve">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rsidR="003A78C2">
        <w:t>2</w:t>
      </w:r>
      <w:r>
        <w:rPr>
          <w:rFonts w:hint="eastAsia"/>
        </w:rPr>
        <w:t>是航空器在机场场面运行过程的时间轴，包含以下重要时刻：</w:t>
      </w:r>
    </w:p>
    <w:p w:rsidR="00AC0270" w:rsidRDefault="00A90AA6" w:rsidP="00380932">
      <w:r>
        <w:rPr>
          <w:rFonts w:hint="eastAsia"/>
        </w:rPr>
        <w:lastRenderedPageBreak/>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sidR="00BD5518">
        <w:rPr>
          <w:rFonts w:hint="eastAsia"/>
        </w:rPr>
        <w:t>场面运行队列</w:t>
      </w:r>
    </w:p>
    <w:p w:rsidR="00DA7605" w:rsidRDefault="002747D7" w:rsidP="005A1E5E">
      <w:r>
        <w:rPr>
          <w:rFonts w:hint="eastAsia"/>
        </w:rPr>
        <w:t>航空器从触地时刻开始，直到下一次</w:t>
      </w:r>
      <w:r w:rsidR="00DA7605">
        <w:rPr>
          <w:rFonts w:hint="eastAsia"/>
        </w:rPr>
        <w:t>起飞</w:t>
      </w:r>
      <w:r w:rsidR="00BD5518">
        <w:rPr>
          <w:rFonts w:hint="eastAsia"/>
        </w:rPr>
        <w:t>离地期间，均需要在机场场面运行。场面运行过程中会形成不同的排队队列</w:t>
      </w:r>
      <w:r>
        <w:rPr>
          <w:rFonts w:hint="eastAsia"/>
        </w:rPr>
        <w:t>，</w:t>
      </w:r>
      <w:r w:rsidR="00BD5518">
        <w:rPr>
          <w:rFonts w:hint="eastAsia"/>
        </w:rPr>
        <w:t>这些队列</w:t>
      </w:r>
      <w:r w:rsidR="00DA7605">
        <w:rPr>
          <w:rFonts w:hint="eastAsia"/>
        </w:rPr>
        <w:t>是</w:t>
      </w:r>
      <w:r w:rsidR="00BD5518">
        <w:rPr>
          <w:rFonts w:hint="eastAsia"/>
        </w:rPr>
        <w:t>将</w:t>
      </w:r>
      <w:r w:rsidR="00DA7605">
        <w:rPr>
          <w:rFonts w:hint="eastAsia"/>
        </w:rPr>
        <w:t>场面各运行子系统的进出点</w:t>
      </w:r>
      <w:r w:rsidR="00BD5518">
        <w:rPr>
          <w:rFonts w:hint="eastAsia"/>
        </w:rPr>
        <w:t>处的航空器虚拟成一个队列</w:t>
      </w:r>
      <w:r w:rsidR="00DA7605">
        <w:rPr>
          <w:rFonts w:hint="eastAsia"/>
        </w:rPr>
        <w:t>，</w:t>
      </w:r>
      <w:r w:rsidR="00BD5518">
        <w:rPr>
          <w:rFonts w:hint="eastAsia"/>
        </w:rPr>
        <w:t>通过队列进入时刻、服务时间以及离开时刻的控制，达到控制场面运行的效果</w:t>
      </w:r>
      <w:r w:rsidR="00DA7605">
        <w:rPr>
          <w:rFonts w:hint="eastAsia"/>
        </w:rPr>
        <w:t>。</w:t>
      </w:r>
    </w:p>
    <w:p w:rsidR="00E40FA9" w:rsidRDefault="00BD5518" w:rsidP="00380932">
      <w:r>
        <w:rPr>
          <w:rFonts w:hint="eastAsia"/>
        </w:rPr>
        <w:t>跑道、滑行道和停机位是机场空侧的重要组成部分，这几个</w:t>
      </w:r>
      <w:r w:rsidR="001427DC">
        <w:rPr>
          <w:rFonts w:hint="eastAsia"/>
        </w:rPr>
        <w:t>子系统的</w:t>
      </w:r>
      <w:r>
        <w:rPr>
          <w:rFonts w:hint="eastAsia"/>
        </w:rPr>
        <w:t>进出点</w:t>
      </w:r>
      <w:r w:rsidR="001427DC">
        <w:rPr>
          <w:rFonts w:hint="eastAsia"/>
        </w:rPr>
        <w:t>位置</w:t>
      </w:r>
      <w:r>
        <w:rPr>
          <w:rFonts w:hint="eastAsia"/>
        </w:rPr>
        <w:t>容易发生</w:t>
      </w:r>
      <w:r w:rsidR="001427DC">
        <w:rPr>
          <w:rFonts w:hint="eastAsia"/>
        </w:rPr>
        <w:t>拥挤</w:t>
      </w:r>
      <w:r>
        <w:rPr>
          <w:rFonts w:hint="eastAsia"/>
        </w:rPr>
        <w:t>与冲突，降低场面运行效率，增大运行复杂度，增加管制员负荷</w:t>
      </w:r>
      <w:r w:rsidR="001427DC">
        <w:rPr>
          <w:rFonts w:hint="eastAsia"/>
        </w:rPr>
        <w:t>。</w:t>
      </w:r>
      <w:r>
        <w:rPr>
          <w:rFonts w:hint="eastAsia"/>
        </w:rPr>
        <w:t>因此，需要对场面运行过程中的重要点进行控制。场面运行中有以下几个较为重要的队列</w:t>
      </w:r>
      <w:r w:rsidR="00E40FA9">
        <w:rPr>
          <w:rFonts w:hint="eastAsia"/>
        </w:rPr>
        <w:t>：</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lastRenderedPageBreak/>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sidR="00455971">
        <w:rPr>
          <w:rFonts w:hint="eastAsia"/>
        </w:rPr>
        <w:t>等人</w:t>
      </w:r>
      <w:r>
        <w:rPr>
          <w:rFonts w:hint="eastAsia"/>
        </w:rPr>
        <w:t>在研究中对场面航班数的定义是在时间窗口内，已推出尚未起飞的航班数与已降落尚未进机位的航班数之和</w:t>
      </w:r>
      <w:r w:rsidR="00455971">
        <w:rPr>
          <w:rFonts w:hint="eastAsia"/>
        </w:rPr>
        <w:t>[</w:t>
      </w:r>
      <w:r w:rsidR="00455971">
        <w:t>22</w:t>
      </w:r>
      <w:r w:rsidR="00455971">
        <w:rPr>
          <w:rFonts w:hint="eastAsia"/>
        </w:rPr>
        <w:t>]</w:t>
      </w:r>
      <w:r w:rsidR="00BD5518">
        <w:rPr>
          <w:rFonts w:hint="eastAsia"/>
        </w:rPr>
        <w:t>，</w:t>
      </w:r>
      <w:r>
        <w:rPr>
          <w:rFonts w:hint="eastAsia"/>
        </w:rPr>
        <w:t>如下所示：</w:t>
      </w:r>
    </w:p>
    <w:p w:rsidR="00617181" w:rsidRPr="00617181" w:rsidRDefault="00F75A85" w:rsidP="00EC664B">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F75A85" w:rsidP="00EC664B">
      <w:pPr>
        <w:spacing w:beforeLines="50" w:before="156" w:afterLines="50" w:after="156"/>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0" w:name="OLE_LINK5"/>
              <w:bookmarkStart w:id="1"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0"/>
              <w:bookmarkEnd w:id="1"/>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pPr>
      <w:r>
        <w:t>(3)</w:t>
      </w:r>
    </w:p>
    <w:p w:rsidR="00617181" w:rsidRDefault="00617181" w:rsidP="00617181">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w:t>
      </w:r>
      <w:r w:rsidR="00BD5518">
        <w:rPr>
          <w:rFonts w:hint="eastAsia"/>
        </w:rPr>
        <w:t>两式之</w:t>
      </w:r>
      <w:r>
        <w:rPr>
          <w:rFonts w:hint="eastAsia"/>
        </w:rPr>
        <w:t>和即为</w:t>
      </w:r>
      <m:oMath>
        <m:r>
          <m:rPr>
            <m:sty m:val="p"/>
          </m:rPr>
          <w:rPr>
            <w:rFonts w:ascii="Cambria Math" w:hAnsi="Cambria Math"/>
          </w:rPr>
          <m:t>T</m:t>
        </m:r>
      </m:oMath>
      <w:r>
        <w:rPr>
          <w:rFonts w:hint="eastAsia"/>
        </w:rPr>
        <w:t>时间窗口内场面航班数</w:t>
      </w:r>
      <w:r w:rsidR="00BD5518">
        <w:rPr>
          <w:rFonts w:hint="eastAsia"/>
        </w:rPr>
        <w:t>，如式</w:t>
      </w:r>
      <w:r w:rsidR="00BD5518">
        <w:rPr>
          <w:rFonts w:hint="eastAsia"/>
        </w:rPr>
        <w:t>(3)</w:t>
      </w:r>
      <w:r w:rsidR="00BD5518">
        <w:rPr>
          <w:rFonts w:hint="eastAsia"/>
        </w:rPr>
        <w:t>所示</w:t>
      </w:r>
      <w:r>
        <w:rPr>
          <w:rFonts w:hint="eastAsia"/>
        </w:rPr>
        <w:t>。考虑运算次数、数据灵敏度等原因，选取</w:t>
      </w:r>
      <w:r>
        <w:rPr>
          <w:rFonts w:hint="eastAsia"/>
        </w:rPr>
        <w:t>15</w:t>
      </w:r>
      <w:r>
        <w:rPr>
          <w:rFonts w:hint="eastAsia"/>
        </w:rPr>
        <w:t>分钟作为</w:t>
      </w:r>
      <w:r w:rsidR="00BD5518">
        <w:rPr>
          <w:rFonts w:hint="eastAsia"/>
        </w:rPr>
        <w:t>统计</w:t>
      </w:r>
      <w:r>
        <w:rPr>
          <w:rFonts w:hint="eastAsia"/>
        </w:rPr>
        <w:t>场面航班数的时间窗口。</w:t>
      </w:r>
    </w:p>
    <w:p w:rsidR="00BD5518" w:rsidRDefault="00617181" w:rsidP="00617181">
      <w:r>
        <w:rPr>
          <w:rFonts w:hint="eastAsia"/>
        </w:rPr>
        <w:t>场面航班数</w:t>
      </w:r>
      <w:r w:rsidR="00BD5518">
        <w:rPr>
          <w:rFonts w:hint="eastAsia"/>
        </w:rPr>
        <w:t>的物理意义使</w:t>
      </w:r>
      <w:bookmarkStart w:id="2" w:name="_GoBack"/>
      <w:bookmarkEnd w:id="2"/>
      <w:r w:rsidR="00BD5518">
        <w:rPr>
          <w:rFonts w:hint="eastAsia"/>
        </w:rPr>
        <w:t>其能够表征</w:t>
      </w:r>
      <w:r>
        <w:rPr>
          <w:rFonts w:hint="eastAsia"/>
        </w:rPr>
        <w:t>某一时间窗口内机场场面正在活动或</w:t>
      </w:r>
      <w:r w:rsidR="00BD5518">
        <w:rPr>
          <w:rFonts w:hint="eastAsia"/>
        </w:rPr>
        <w:lastRenderedPageBreak/>
        <w:t>处于某一</w:t>
      </w:r>
      <w:r>
        <w:rPr>
          <w:rFonts w:hint="eastAsia"/>
        </w:rPr>
        <w:t>等待</w:t>
      </w:r>
      <w:r w:rsidR="00BD5518">
        <w:rPr>
          <w:rFonts w:hint="eastAsia"/>
        </w:rPr>
        <w:t>队列的航班总数</w:t>
      </w:r>
      <w:r>
        <w:rPr>
          <w:rFonts w:hint="eastAsia"/>
        </w:rPr>
        <w:t>。</w:t>
      </w:r>
      <w:r w:rsidR="00BD5518">
        <w:rPr>
          <w:rFonts w:hint="eastAsia"/>
        </w:rPr>
        <w:t>场面航班数会受到多个因素的影响，例如跑道等待队列的长度</w:t>
      </w:r>
      <w:r>
        <w:rPr>
          <w:rFonts w:hint="eastAsia"/>
        </w:rPr>
        <w:t>、</w:t>
      </w:r>
      <w:r w:rsidR="00BD5518">
        <w:rPr>
          <w:rFonts w:hint="eastAsia"/>
        </w:rPr>
        <w:t>跑道占用时间、</w:t>
      </w:r>
      <w:r>
        <w:rPr>
          <w:rFonts w:hint="eastAsia"/>
        </w:rPr>
        <w:t>滑行</w:t>
      </w:r>
      <w:r w:rsidR="00BD5518">
        <w:rPr>
          <w:rFonts w:hint="eastAsia"/>
        </w:rPr>
        <w:t>中的相互干扰</w:t>
      </w:r>
      <w:r>
        <w:rPr>
          <w:rFonts w:hint="eastAsia"/>
        </w:rPr>
        <w:t>、</w:t>
      </w:r>
      <w:r w:rsidR="00BD5518">
        <w:rPr>
          <w:rFonts w:hint="eastAsia"/>
        </w:rPr>
        <w:t>剩余停机位不足造成的冲突</w:t>
      </w:r>
      <w:r>
        <w:rPr>
          <w:rFonts w:hint="eastAsia"/>
        </w:rPr>
        <w:t>等。</w:t>
      </w:r>
    </w:p>
    <w:p w:rsidR="003A78C2" w:rsidRPr="003A78C2" w:rsidRDefault="003A78C2" w:rsidP="00617181"/>
    <w:p w:rsidR="00DE1AB8" w:rsidRDefault="003A78C2" w:rsidP="00617181">
      <w:r>
        <w:rPr>
          <w:noProof/>
        </w:rPr>
        <w:drawing>
          <wp:inline distT="0" distB="0" distL="0" distR="0">
            <wp:extent cx="5274310" cy="2621710"/>
            <wp:effectExtent l="0" t="0" r="2540" b="7620"/>
            <wp:docPr id="1" name="图片 1" descr="C:\Users\QYF\AppData\Local\Microsoft\Windows\INetCacheContent.Word\推出率-起飞率变化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YF\AppData\Local\Microsoft\Windows\INetCacheContent.Word\推出率-起飞率变化图.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621710"/>
                    </a:xfrm>
                    <a:prstGeom prst="rect">
                      <a:avLst/>
                    </a:prstGeom>
                    <a:noFill/>
                    <a:ln>
                      <a:noFill/>
                    </a:ln>
                  </pic:spPr>
                </pic:pic>
              </a:graphicData>
            </a:graphic>
          </wp:inline>
        </w:drawing>
      </w:r>
    </w:p>
    <w:p w:rsidR="003A78C2" w:rsidRDefault="003A78C2" w:rsidP="00617181">
      <w:r>
        <w:rPr>
          <w:rFonts w:hint="eastAsia"/>
        </w:rPr>
        <w:t>图</w:t>
      </w:r>
      <w:r>
        <w:rPr>
          <w:rFonts w:hint="eastAsia"/>
        </w:rPr>
        <w:t>2-</w:t>
      </w:r>
      <w:r>
        <w:t xml:space="preserve">3 </w:t>
      </w:r>
      <w:r>
        <w:rPr>
          <w:rFonts w:hint="eastAsia"/>
        </w:rPr>
        <w:t>推出率</w:t>
      </w:r>
      <w:r>
        <w:rPr>
          <w:rFonts w:hint="eastAsia"/>
        </w:rPr>
        <w:t>-</w:t>
      </w:r>
      <w:r>
        <w:rPr>
          <w:rFonts w:hint="eastAsia"/>
        </w:rPr>
        <w:t>起飞率变化图</w:t>
      </w:r>
    </w:p>
    <w:p w:rsidR="003A78C2" w:rsidRDefault="003A78C2" w:rsidP="00617181"/>
    <w:p w:rsidR="00050A57" w:rsidRPr="00617181" w:rsidRDefault="00050A57" w:rsidP="00050A57">
      <w:pPr>
        <w:rPr>
          <w:rFonts w:hint="eastAsia"/>
        </w:rPr>
      </w:pPr>
      <w:r>
        <w:rPr>
          <w:rFonts w:hint="eastAsia"/>
        </w:rPr>
        <w:t>机场高峰运行时刻，在推出率超过阀值后，机场起飞率无法满足所有航班的需求，此时继续推出航班会导致场面航班数增加并保持在较高的值，场面处于拥挤状态，导致更长的滑行时间与更多的尾气排放。图</w:t>
      </w:r>
      <w:r>
        <w:rPr>
          <w:rFonts w:hint="eastAsia"/>
        </w:rPr>
        <w:t>2-</w:t>
      </w:r>
      <w:r>
        <w:t>3</w:t>
      </w:r>
      <w:r>
        <w:rPr>
          <w:rFonts w:hint="eastAsia"/>
        </w:rPr>
        <w:t>是基于北京首都国际机场实际运行的推出率</w:t>
      </w:r>
      <w:r>
        <w:rPr>
          <w:rFonts w:hint="eastAsia"/>
        </w:rPr>
        <w:t>-</w:t>
      </w:r>
      <w:r>
        <w:rPr>
          <w:rFonts w:hint="eastAsia"/>
        </w:rPr>
        <w:t>起飞率变化图。其中，推出率与起飞率的计算周期均为</w:t>
      </w:r>
      <w:r>
        <w:rPr>
          <w:rFonts w:hint="eastAsia"/>
        </w:rPr>
        <w:t>15</w:t>
      </w:r>
      <w:r>
        <w:rPr>
          <w:rFonts w:hint="eastAsia"/>
        </w:rPr>
        <w:t>分钟。从图中可以看出，当推出率增大到超过</w:t>
      </w:r>
      <w:r>
        <w:rPr>
          <w:rFonts w:hint="eastAsia"/>
        </w:rPr>
        <w:t>20</w:t>
      </w:r>
      <w:r>
        <w:rPr>
          <w:rFonts w:hint="eastAsia"/>
        </w:rPr>
        <w:t>架次</w:t>
      </w:r>
      <w:r>
        <w:rPr>
          <w:rFonts w:hint="eastAsia"/>
        </w:rPr>
        <w:t>/15</w:t>
      </w:r>
      <w:r>
        <w:rPr>
          <w:rFonts w:hint="eastAsia"/>
        </w:rPr>
        <w:t>分钟时，起飞率基本不再增加，在推出率超过</w:t>
      </w:r>
      <w:r>
        <w:rPr>
          <w:rFonts w:hint="eastAsia"/>
        </w:rPr>
        <w:t>27</w:t>
      </w:r>
      <w:r>
        <w:rPr>
          <w:rFonts w:hint="eastAsia"/>
        </w:rPr>
        <w:t>架次</w:t>
      </w:r>
      <w:r>
        <w:rPr>
          <w:rFonts w:hint="eastAsia"/>
        </w:rPr>
        <w:t>/15</w:t>
      </w:r>
      <w:r>
        <w:rPr>
          <w:rFonts w:hint="eastAsia"/>
        </w:rPr>
        <w:t>分钟后，起飞率出现了下降的情况。</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lastRenderedPageBreak/>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pPr>
      <w:r>
        <w:rPr>
          <w:rFonts w:hint="eastAsia"/>
        </w:rPr>
        <w:t xml:space="preserve">3.1 </w:t>
      </w:r>
      <w:r>
        <w:rPr>
          <w:rFonts w:hint="eastAsia"/>
        </w:rPr>
        <w:t>传统的跑道运行模式</w:t>
      </w:r>
    </w:p>
    <w:p w:rsidR="0000482F" w:rsidRDefault="0000482F" w:rsidP="0000482F">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r>
        <w:rPr>
          <w:rFonts w:hint="eastAsia"/>
        </w:rPr>
        <w:t xml:space="preserve">3.2 </w:t>
      </w:r>
      <w:r>
        <w:rPr>
          <w:rFonts w:hint="eastAsia"/>
        </w:rPr>
        <w:t>单一跑道运行模式</w:t>
      </w:r>
    </w:p>
    <w:p w:rsidR="0000482F" w:rsidRDefault="0000482F" w:rsidP="0000482F">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A85" w:rsidRDefault="00F75A85" w:rsidP="00380932">
      <w:r>
        <w:separator/>
      </w:r>
    </w:p>
  </w:endnote>
  <w:endnote w:type="continuationSeparator" w:id="0">
    <w:p w:rsidR="00F75A85" w:rsidRDefault="00F75A85"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A85" w:rsidRDefault="00F75A85" w:rsidP="00380932">
      <w:r>
        <w:separator/>
      </w:r>
    </w:p>
  </w:footnote>
  <w:footnote w:type="continuationSeparator" w:id="0">
    <w:p w:rsidR="00F75A85" w:rsidRDefault="00F75A85"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482F"/>
    <w:rsid w:val="00010C1C"/>
    <w:rsid w:val="0002405C"/>
    <w:rsid w:val="00032CB9"/>
    <w:rsid w:val="000431A8"/>
    <w:rsid w:val="00050A57"/>
    <w:rsid w:val="00052543"/>
    <w:rsid w:val="0006356D"/>
    <w:rsid w:val="000654E1"/>
    <w:rsid w:val="00081B48"/>
    <w:rsid w:val="000864E9"/>
    <w:rsid w:val="00092638"/>
    <w:rsid w:val="000A278E"/>
    <w:rsid w:val="001218BA"/>
    <w:rsid w:val="00122283"/>
    <w:rsid w:val="001427DC"/>
    <w:rsid w:val="00143CA9"/>
    <w:rsid w:val="0016765C"/>
    <w:rsid w:val="00173E8B"/>
    <w:rsid w:val="001833F9"/>
    <w:rsid w:val="001C2CF7"/>
    <w:rsid w:val="001E7F21"/>
    <w:rsid w:val="001F46D8"/>
    <w:rsid w:val="002418D8"/>
    <w:rsid w:val="00241AE5"/>
    <w:rsid w:val="0024659D"/>
    <w:rsid w:val="00247444"/>
    <w:rsid w:val="002525E0"/>
    <w:rsid w:val="002561B5"/>
    <w:rsid w:val="002669B3"/>
    <w:rsid w:val="00266C5F"/>
    <w:rsid w:val="002747D7"/>
    <w:rsid w:val="0027670B"/>
    <w:rsid w:val="002831C2"/>
    <w:rsid w:val="00287803"/>
    <w:rsid w:val="002C527C"/>
    <w:rsid w:val="002D00BA"/>
    <w:rsid w:val="002D7ADF"/>
    <w:rsid w:val="00305339"/>
    <w:rsid w:val="00307E51"/>
    <w:rsid w:val="00370862"/>
    <w:rsid w:val="00380932"/>
    <w:rsid w:val="003843C4"/>
    <w:rsid w:val="003A665D"/>
    <w:rsid w:val="003A78C2"/>
    <w:rsid w:val="003C4CD5"/>
    <w:rsid w:val="003E716F"/>
    <w:rsid w:val="003F2B05"/>
    <w:rsid w:val="003F3EC0"/>
    <w:rsid w:val="00402B9E"/>
    <w:rsid w:val="00444D7C"/>
    <w:rsid w:val="00455971"/>
    <w:rsid w:val="00457A16"/>
    <w:rsid w:val="00474E89"/>
    <w:rsid w:val="00487B04"/>
    <w:rsid w:val="00491118"/>
    <w:rsid w:val="0049789B"/>
    <w:rsid w:val="004A3048"/>
    <w:rsid w:val="004A5AA2"/>
    <w:rsid w:val="004B459C"/>
    <w:rsid w:val="004B53EB"/>
    <w:rsid w:val="004C4E8B"/>
    <w:rsid w:val="004D0DD2"/>
    <w:rsid w:val="004E4DE9"/>
    <w:rsid w:val="0054797B"/>
    <w:rsid w:val="0056696D"/>
    <w:rsid w:val="00575C5F"/>
    <w:rsid w:val="00582989"/>
    <w:rsid w:val="0059499A"/>
    <w:rsid w:val="005A18E8"/>
    <w:rsid w:val="005A1E5E"/>
    <w:rsid w:val="005B2DDC"/>
    <w:rsid w:val="005C07F4"/>
    <w:rsid w:val="005C7F18"/>
    <w:rsid w:val="005D1E94"/>
    <w:rsid w:val="005D2407"/>
    <w:rsid w:val="005D4891"/>
    <w:rsid w:val="005D7E70"/>
    <w:rsid w:val="005E48F4"/>
    <w:rsid w:val="00617181"/>
    <w:rsid w:val="00632C02"/>
    <w:rsid w:val="00641A7A"/>
    <w:rsid w:val="00663887"/>
    <w:rsid w:val="006831A8"/>
    <w:rsid w:val="006A02DD"/>
    <w:rsid w:val="006B255F"/>
    <w:rsid w:val="006C0559"/>
    <w:rsid w:val="0074040C"/>
    <w:rsid w:val="007663C9"/>
    <w:rsid w:val="007A732E"/>
    <w:rsid w:val="007A7FF7"/>
    <w:rsid w:val="007D7BCB"/>
    <w:rsid w:val="007E7E45"/>
    <w:rsid w:val="007F45EF"/>
    <w:rsid w:val="00825257"/>
    <w:rsid w:val="00876ABB"/>
    <w:rsid w:val="008842D2"/>
    <w:rsid w:val="008A7A92"/>
    <w:rsid w:val="008A7C2D"/>
    <w:rsid w:val="008B0D55"/>
    <w:rsid w:val="008B7349"/>
    <w:rsid w:val="008E1E88"/>
    <w:rsid w:val="008E7CF1"/>
    <w:rsid w:val="008F01A0"/>
    <w:rsid w:val="008F562A"/>
    <w:rsid w:val="00915D60"/>
    <w:rsid w:val="009642EC"/>
    <w:rsid w:val="00966865"/>
    <w:rsid w:val="00971934"/>
    <w:rsid w:val="009726D5"/>
    <w:rsid w:val="0098370F"/>
    <w:rsid w:val="00992945"/>
    <w:rsid w:val="009A3B3B"/>
    <w:rsid w:val="009C5F32"/>
    <w:rsid w:val="009D52F0"/>
    <w:rsid w:val="009E049B"/>
    <w:rsid w:val="009E6961"/>
    <w:rsid w:val="009F2E1E"/>
    <w:rsid w:val="009F634A"/>
    <w:rsid w:val="00A333C8"/>
    <w:rsid w:val="00A80896"/>
    <w:rsid w:val="00A90AA6"/>
    <w:rsid w:val="00A91CD9"/>
    <w:rsid w:val="00AB359A"/>
    <w:rsid w:val="00AB6564"/>
    <w:rsid w:val="00AC0270"/>
    <w:rsid w:val="00AF01BE"/>
    <w:rsid w:val="00AF4315"/>
    <w:rsid w:val="00B108EE"/>
    <w:rsid w:val="00B35634"/>
    <w:rsid w:val="00B36DE4"/>
    <w:rsid w:val="00B437EF"/>
    <w:rsid w:val="00B74B51"/>
    <w:rsid w:val="00B777F8"/>
    <w:rsid w:val="00BA0CBC"/>
    <w:rsid w:val="00BA3570"/>
    <w:rsid w:val="00BA7F20"/>
    <w:rsid w:val="00BB20CF"/>
    <w:rsid w:val="00BC3E67"/>
    <w:rsid w:val="00BC78B5"/>
    <w:rsid w:val="00BD5518"/>
    <w:rsid w:val="00C036CA"/>
    <w:rsid w:val="00C3223F"/>
    <w:rsid w:val="00C360EC"/>
    <w:rsid w:val="00C36E6B"/>
    <w:rsid w:val="00C67A61"/>
    <w:rsid w:val="00D25EA2"/>
    <w:rsid w:val="00D34F4E"/>
    <w:rsid w:val="00D43770"/>
    <w:rsid w:val="00DA0D7E"/>
    <w:rsid w:val="00DA70D9"/>
    <w:rsid w:val="00DA7605"/>
    <w:rsid w:val="00DC07B7"/>
    <w:rsid w:val="00DC3B28"/>
    <w:rsid w:val="00DC4884"/>
    <w:rsid w:val="00DE1AB8"/>
    <w:rsid w:val="00E00976"/>
    <w:rsid w:val="00E21ADA"/>
    <w:rsid w:val="00E330A4"/>
    <w:rsid w:val="00E40FA9"/>
    <w:rsid w:val="00E43C2B"/>
    <w:rsid w:val="00E5639A"/>
    <w:rsid w:val="00E805CD"/>
    <w:rsid w:val="00E9028A"/>
    <w:rsid w:val="00E977DE"/>
    <w:rsid w:val="00EB4001"/>
    <w:rsid w:val="00EC664B"/>
    <w:rsid w:val="00EF4CDA"/>
    <w:rsid w:val="00F25FFC"/>
    <w:rsid w:val="00F31414"/>
    <w:rsid w:val="00F46D4A"/>
    <w:rsid w:val="00F47D67"/>
    <w:rsid w:val="00F546B0"/>
    <w:rsid w:val="00F54D35"/>
    <w:rsid w:val="00F715D0"/>
    <w:rsid w:val="00F75A85"/>
    <w:rsid w:val="00F806BE"/>
    <w:rsid w:val="00F849A3"/>
    <w:rsid w:val="00F94E32"/>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10B9"/>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B7500-3182-4547-804E-8EF40905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1</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40</cp:revision>
  <dcterms:created xsi:type="dcterms:W3CDTF">2016-12-07T07:55:00Z</dcterms:created>
  <dcterms:modified xsi:type="dcterms:W3CDTF">2016-12-26T09:55:00Z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