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Corporate</w:t>
      </w:r>
      <w:r>
        <w:t xml:space="preserve"> </w:t>
      </w:r>
      <w:r>
        <w:t xml:space="preserve">Financial</w:t>
      </w:r>
      <w:r>
        <w:t xml:space="preserve"> </w:t>
      </w:r>
      <w:r>
        <w:t xml:space="preserve">Management</w:t>
      </w:r>
    </w:p>
    <w:p>
      <w:pPr>
        <w:pStyle w:val="Subtitle"/>
      </w:pPr>
      <w:r>
        <w:t xml:space="preserve">Module</w:t>
      </w:r>
      <w:r>
        <w:t xml:space="preserve"> </w:t>
      </w:r>
      <w:r>
        <w:t xml:space="preserve">Handbook</w:t>
      </w:r>
      <w:r>
        <w:t xml:space="preserve"> </w:t>
      </w:r>
      <w:r>
        <w:t xml:space="preserve">2024/25</w:t>
      </w:r>
    </w:p>
    <w:p>
      <w:pPr>
        <w:pStyle w:val="Author"/>
      </w:pPr>
      <w:r>
        <w:t xml:space="preserve">Module</w:t>
      </w:r>
      <w:r>
        <w:t xml:space="preserve"> </w:t>
      </w:r>
      <w:r>
        <w:t xml:space="preserve">Code:</w:t>
      </w:r>
      <w:r>
        <w:t xml:space="preserve"> </w:t>
      </w:r>
      <w:r>
        <w:t xml:space="preserve">ACF838</w:t>
      </w:r>
    </w:p>
    <w:p>
      <w:pPr>
        <w:pStyle w:val="Date"/>
      </w:pPr>
      <w:r>
        <w:t xml:space="preserve">2025-01-01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23" w:name="module-overview"/>
    <w:p>
      <w:pPr>
        <w:pStyle w:val="Heading1"/>
      </w:pPr>
      <w:r>
        <w:t xml:space="preserve">Module Overview</w:t>
      </w:r>
    </w:p>
    <w:p>
      <w:pPr>
        <w:pStyle w:val="FirstParagraph"/>
      </w:pPr>
      <w:r>
        <w:t xml:space="preserve">This handbook provides comprehensive information for the Corporate Financial Management module (ACF838) at Ulster University Business School, delivered as a 4-day intensive block course for MSc Management and Corporate Governance students.</w:t>
      </w:r>
    </w:p>
    <w:bookmarkStart w:id="20" w:name="module-details"/>
    <w:p>
      <w:pPr>
        <w:pStyle w:val="Heading2"/>
      </w:pPr>
      <w:r>
        <w:t xml:space="preserve">Module Details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Module Code</w:t>
      </w:r>
      <w:r>
        <w:t xml:space="preserve">: ACF838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Program</w:t>
      </w:r>
      <w:r>
        <w:t xml:space="preserve">: MSc Management and Corporate Governance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Institution</w:t>
      </w:r>
      <w:r>
        <w:t xml:space="preserve">: Ulster University Business School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Delivery Format</w:t>
      </w:r>
      <w:r>
        <w:t xml:space="preserve">: Intensive 4-day block format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Assessment</w:t>
      </w:r>
      <w:r>
        <w:t xml:space="preserve">: 50% coursework (case study), 50% examination (3-hour exam)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Module Coordinator</w:t>
      </w:r>
      <w:r>
        <w:t xml:space="preserve">: Prof. Barry Quinn (b.quinn1@ulster.ac.uk)</w:t>
      </w:r>
    </w:p>
    <w:bookmarkEnd w:id="20"/>
    <w:bookmarkStart w:id="21" w:name="learning-outcomes"/>
    <w:p>
      <w:pPr>
        <w:pStyle w:val="Heading2"/>
      </w:pPr>
      <w:r>
        <w:t xml:space="preserve">Learning Outcomes</w:t>
      </w:r>
    </w:p>
    <w:p>
      <w:pPr>
        <w:pStyle w:val="FirstParagraph"/>
      </w:pPr>
      <w:r>
        <w:t xml:space="preserve">By the end of this module, students will be able to: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Demonstrate knowledge and understanding</w:t>
      </w:r>
      <w:r>
        <w:t xml:space="preserve"> </w:t>
      </w:r>
      <w:r>
        <w:t xml:space="preserve">of investment, financing and dividend decisions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Assess the potential and significance</w:t>
      </w:r>
      <w:r>
        <w:t xml:space="preserve"> </w:t>
      </w:r>
      <w:r>
        <w:t xml:space="preserve">of various sources of finance available to a business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Critically examine</w:t>
      </w:r>
      <w:r>
        <w:t xml:space="preserve"> </w:t>
      </w:r>
      <w:r>
        <w:t xml:space="preserve">issues surrounding corporate financing and dividend policy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Recognize concepts and theories</w:t>
      </w:r>
      <w:r>
        <w:t xml:space="preserve"> </w:t>
      </w:r>
      <w:r>
        <w:t xml:space="preserve">of financial management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Apply financial techniques</w:t>
      </w:r>
      <w:r>
        <w:t xml:space="preserve"> </w:t>
      </w:r>
      <w:r>
        <w:t xml:space="preserve">to evaluate business investment opportunities</w:t>
      </w:r>
    </w:p>
    <w:bookmarkEnd w:id="21"/>
    <w:bookmarkStart w:id="22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This module integrates financial management concepts with managerial decision-making, corporate planning, and interaction with the wider business environment. The course is delivered in an intensive 4-day block format, condensing a full semester of content into a comprehensive, focused learning experience.</w:t>
      </w:r>
    </w:p>
    <w:bookmarkEnd w:id="22"/>
    <w:bookmarkEnd w:id="23"/>
    <w:bookmarkStart w:id="32" w:name="X7b82e4416da268adca5fbc2858360b1bb1ee8f0"/>
    <w:p>
      <w:pPr>
        <w:pStyle w:val="Heading1"/>
      </w:pPr>
      <w:r>
        <w:t xml:space="preserve">Day 1: Financial Framework &amp; Investment Decisions</w:t>
      </w:r>
    </w:p>
    <w:bookmarkStart w:id="27" w:name="morning-session-financial-framework"/>
    <w:p>
      <w:pPr>
        <w:pStyle w:val="Heading2"/>
      </w:pPr>
      <w:r>
        <w:t xml:space="preserve">Morning Session: Financial Framework</w:t>
      </w:r>
    </w:p>
    <w:bookmarkStart w:id="24" w:name="overview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morning session establishes the foundational concepts of corporate financial management, examining the objectives of business and how financial information supports decision-making.</w:t>
      </w:r>
    </w:p>
    <w:bookmarkEnd w:id="24"/>
    <w:bookmarkStart w:id="25" w:name="key-topics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03"/>
        </w:numPr>
      </w:pPr>
      <w:r>
        <w:t xml:space="preserve">Module introduction and rationale</w:t>
      </w:r>
    </w:p>
    <w:p>
      <w:pPr>
        <w:pStyle w:val="Compact"/>
        <w:numPr>
          <w:ilvl w:val="0"/>
          <w:numId w:val="1003"/>
        </w:numPr>
      </w:pPr>
      <w:r>
        <w:t xml:space="preserve">Financial information for decision making</w:t>
      </w:r>
    </w:p>
    <w:p>
      <w:pPr>
        <w:pStyle w:val="Compact"/>
        <w:numPr>
          <w:ilvl w:val="0"/>
          <w:numId w:val="1003"/>
        </w:numPr>
      </w:pPr>
      <w:r>
        <w:t xml:space="preserve">Corporate objectives and governance</w:t>
      </w:r>
    </w:p>
    <w:p>
      <w:pPr>
        <w:pStyle w:val="Compact"/>
        <w:numPr>
          <w:ilvl w:val="0"/>
          <w:numId w:val="1003"/>
        </w:numPr>
      </w:pPr>
      <w:r>
        <w:t xml:space="preserve">Shareholder wealth maximization</w:t>
      </w:r>
    </w:p>
    <w:p>
      <w:pPr>
        <w:pStyle w:val="Compact"/>
        <w:numPr>
          <w:ilvl w:val="0"/>
          <w:numId w:val="1003"/>
        </w:numPr>
      </w:pPr>
      <w:r>
        <w:t xml:space="preserve">Agency theory and corporate governance</w:t>
      </w:r>
    </w:p>
    <w:p>
      <w:pPr>
        <w:pStyle w:val="Compact"/>
        <w:numPr>
          <w:ilvl w:val="0"/>
          <w:numId w:val="1003"/>
        </w:numPr>
      </w:pPr>
      <w:r>
        <w:t xml:space="preserve">Financial statement analysis basics</w:t>
      </w:r>
    </w:p>
    <w:bookmarkEnd w:id="25"/>
    <w:bookmarkStart w:id="26" w:name="learning-activities"/>
    <w:p>
      <w:pPr>
        <w:pStyle w:val="Heading3"/>
      </w:pPr>
      <w:r>
        <w:t xml:space="preserve">Learning Activities</w:t>
      </w:r>
    </w:p>
    <w:p>
      <w:pPr>
        <w:pStyle w:val="Compact"/>
        <w:numPr>
          <w:ilvl w:val="0"/>
          <w:numId w:val="1004"/>
        </w:numPr>
      </w:pPr>
      <w:r>
        <w:t xml:space="preserve">Introduction to key financial statements</w:t>
      </w:r>
    </w:p>
    <w:p>
      <w:pPr>
        <w:pStyle w:val="Compact"/>
        <w:numPr>
          <w:ilvl w:val="0"/>
          <w:numId w:val="1004"/>
        </w:numPr>
      </w:pPr>
      <w:r>
        <w:t xml:space="preserve">Corporate objective setting exercise</w:t>
      </w:r>
    </w:p>
    <w:p>
      <w:pPr>
        <w:pStyle w:val="Compact"/>
        <w:numPr>
          <w:ilvl w:val="0"/>
          <w:numId w:val="1004"/>
        </w:numPr>
      </w:pPr>
      <w:r>
        <w:t xml:space="preserve">Agency theory case discussions</w:t>
      </w:r>
    </w:p>
    <w:p>
      <w:pPr>
        <w:pStyle w:val="Compact"/>
        <w:numPr>
          <w:ilvl w:val="0"/>
          <w:numId w:val="1004"/>
        </w:numPr>
      </w:pPr>
      <w:r>
        <w:t xml:space="preserve">Financial information interpretation</w:t>
      </w:r>
    </w:p>
    <w:bookmarkEnd w:id="26"/>
    <w:bookmarkEnd w:id="27"/>
    <w:bookmarkStart w:id="31" w:name="X4ea3743088389e853303ae07b0bbc9acad13295"/>
    <w:p>
      <w:pPr>
        <w:pStyle w:val="Heading2"/>
      </w:pPr>
      <w:r>
        <w:t xml:space="preserve">Afternoon Session: Investment Appraisal Fundamentals</w:t>
      </w:r>
    </w:p>
    <w:bookmarkStart w:id="28" w:name="overview-1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afternoon session introduces the core techniques used to evaluate capital investment decisions, focusing on both theory and practical application.</w:t>
      </w:r>
    </w:p>
    <w:bookmarkEnd w:id="28"/>
    <w:bookmarkStart w:id="29" w:name="key-topics-1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05"/>
        </w:numPr>
      </w:pPr>
      <w:r>
        <w:t xml:space="preserve">Introduction to ratio analysis</w:t>
      </w:r>
    </w:p>
    <w:p>
      <w:pPr>
        <w:pStyle w:val="Compact"/>
        <w:numPr>
          <w:ilvl w:val="0"/>
          <w:numId w:val="1005"/>
        </w:numPr>
      </w:pPr>
      <w:r>
        <w:t xml:space="preserve">Investment appraisal fundamentals</w:t>
      </w:r>
    </w:p>
    <w:p>
      <w:pPr>
        <w:pStyle w:val="Compact"/>
        <w:numPr>
          <w:ilvl w:val="0"/>
          <w:numId w:val="1005"/>
        </w:numPr>
      </w:pPr>
      <w:r>
        <w:t xml:space="preserve">Time value of money concepts</w:t>
      </w:r>
    </w:p>
    <w:p>
      <w:pPr>
        <w:pStyle w:val="Compact"/>
        <w:numPr>
          <w:ilvl w:val="0"/>
          <w:numId w:val="1005"/>
        </w:numPr>
      </w:pPr>
      <w:r>
        <w:t xml:space="preserve">Investment decision criteria</w:t>
      </w:r>
    </w:p>
    <w:p>
      <w:pPr>
        <w:pStyle w:val="Compact"/>
        <w:numPr>
          <w:ilvl w:val="0"/>
          <w:numId w:val="1005"/>
        </w:numPr>
      </w:pPr>
      <w:r>
        <w:t xml:space="preserve">Risk and uncertainty in investment decisions</w:t>
      </w:r>
    </w:p>
    <w:bookmarkEnd w:id="29"/>
    <w:bookmarkStart w:id="30" w:name="practical-applications"/>
    <w:p>
      <w:pPr>
        <w:pStyle w:val="Heading3"/>
      </w:pPr>
      <w:r>
        <w:t xml:space="preserve">Practical Applications</w:t>
      </w:r>
    </w:p>
    <w:p>
      <w:pPr>
        <w:pStyle w:val="Compact"/>
        <w:numPr>
          <w:ilvl w:val="0"/>
          <w:numId w:val="1006"/>
        </w:numPr>
      </w:pPr>
      <w:r>
        <w:t xml:space="preserve">Basic ratio analysis calculations</w:t>
      </w:r>
    </w:p>
    <w:p>
      <w:pPr>
        <w:pStyle w:val="Compact"/>
        <w:numPr>
          <w:ilvl w:val="0"/>
          <w:numId w:val="1006"/>
        </w:numPr>
      </w:pPr>
      <w:r>
        <w:t xml:space="preserve">Time value of money problems</w:t>
      </w:r>
    </w:p>
    <w:p>
      <w:pPr>
        <w:pStyle w:val="Compact"/>
        <w:numPr>
          <w:ilvl w:val="0"/>
          <w:numId w:val="1006"/>
        </w:numPr>
      </w:pPr>
      <w:r>
        <w:t xml:space="preserve">Simple investment appraisal scenarios</w:t>
      </w:r>
    </w:p>
    <w:bookmarkEnd w:id="30"/>
    <w:bookmarkEnd w:id="31"/>
    <w:bookmarkEnd w:id="32"/>
    <w:bookmarkStart w:id="41" w:name="X248facf1c1f2afa5c8d51b7369179c741a2185d"/>
    <w:p>
      <w:pPr>
        <w:pStyle w:val="Heading1"/>
      </w:pPr>
      <w:r>
        <w:t xml:space="preserve">Day 2: Sources of Finance and Cost of Capital</w:t>
      </w:r>
    </w:p>
    <w:bookmarkStart w:id="36" w:name="morning-session-sources-of-finance"/>
    <w:p>
      <w:pPr>
        <w:pStyle w:val="Heading2"/>
      </w:pPr>
      <w:r>
        <w:t xml:space="preserve">Morning Session: Sources of Finance</w:t>
      </w:r>
    </w:p>
    <w:bookmarkStart w:id="33" w:name="overview-2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morning session examines the various sources of finance available to businesses for both short-term and long-term funding needs, along with their advantages and disadvantages.</w:t>
      </w:r>
    </w:p>
    <w:bookmarkEnd w:id="33"/>
    <w:bookmarkStart w:id="34" w:name="key-topics-2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Long-term Financing Sources</w:t>
      </w:r>
    </w:p>
    <w:p>
      <w:pPr>
        <w:pStyle w:val="Compact"/>
        <w:numPr>
          <w:ilvl w:val="1"/>
          <w:numId w:val="1008"/>
        </w:numPr>
      </w:pPr>
      <w:r>
        <w:t xml:space="preserve">Equity capital</w:t>
      </w:r>
    </w:p>
    <w:p>
      <w:pPr>
        <w:pStyle w:val="Compact"/>
        <w:numPr>
          <w:ilvl w:val="1"/>
          <w:numId w:val="1008"/>
        </w:numPr>
      </w:pPr>
      <w:r>
        <w:t xml:space="preserve">Preference shares</w:t>
      </w:r>
    </w:p>
    <w:p>
      <w:pPr>
        <w:pStyle w:val="Compact"/>
        <w:numPr>
          <w:ilvl w:val="1"/>
          <w:numId w:val="1008"/>
        </w:numPr>
      </w:pPr>
      <w:r>
        <w:t xml:space="preserve">Long-term debt</w:t>
      </w:r>
    </w:p>
    <w:p>
      <w:pPr>
        <w:pStyle w:val="Compact"/>
        <w:numPr>
          <w:ilvl w:val="1"/>
          <w:numId w:val="1008"/>
        </w:numPr>
      </w:pPr>
      <w:r>
        <w:t xml:space="preserve">Bonds and debentures</w:t>
      </w:r>
    </w:p>
    <w:p>
      <w:pPr>
        <w:pStyle w:val="Compact"/>
        <w:numPr>
          <w:ilvl w:val="1"/>
          <w:numId w:val="1008"/>
        </w:numPr>
      </w:pPr>
      <w:r>
        <w:t xml:space="preserve">Lease financing</w:t>
      </w:r>
    </w:p>
    <w:p>
      <w:pPr>
        <w:pStyle w:val="Compact"/>
        <w:numPr>
          <w:ilvl w:val="1"/>
          <w:numId w:val="1008"/>
        </w:numPr>
      </w:pPr>
      <w:r>
        <w:t xml:space="preserve">Venture capital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Short-term Financing Sources</w:t>
      </w:r>
    </w:p>
    <w:p>
      <w:pPr>
        <w:pStyle w:val="Compact"/>
        <w:numPr>
          <w:ilvl w:val="1"/>
          <w:numId w:val="1009"/>
        </w:numPr>
      </w:pPr>
      <w:r>
        <w:t xml:space="preserve">Bank overdrafts</w:t>
      </w:r>
    </w:p>
    <w:p>
      <w:pPr>
        <w:pStyle w:val="Compact"/>
        <w:numPr>
          <w:ilvl w:val="1"/>
          <w:numId w:val="1009"/>
        </w:numPr>
      </w:pPr>
      <w:r>
        <w:t xml:space="preserve">Trade credit</w:t>
      </w:r>
    </w:p>
    <w:p>
      <w:pPr>
        <w:pStyle w:val="Compact"/>
        <w:numPr>
          <w:ilvl w:val="1"/>
          <w:numId w:val="1009"/>
        </w:numPr>
      </w:pPr>
      <w:r>
        <w:t xml:space="preserve">Factoring and invoice discounting</w:t>
      </w:r>
    </w:p>
    <w:p>
      <w:pPr>
        <w:pStyle w:val="Compact"/>
        <w:numPr>
          <w:ilvl w:val="1"/>
          <w:numId w:val="1009"/>
        </w:numPr>
      </w:pPr>
      <w:r>
        <w:t xml:space="preserve">Short-term loans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Characteristics of Different Financing Sources</w:t>
      </w:r>
    </w:p>
    <w:p>
      <w:pPr>
        <w:pStyle w:val="Compact"/>
        <w:numPr>
          <w:ilvl w:val="1"/>
          <w:numId w:val="1010"/>
        </w:numPr>
      </w:pPr>
      <w:r>
        <w:t xml:space="preserve">Cost implications</w:t>
      </w:r>
    </w:p>
    <w:p>
      <w:pPr>
        <w:pStyle w:val="Compact"/>
        <w:numPr>
          <w:ilvl w:val="1"/>
          <w:numId w:val="1010"/>
        </w:numPr>
      </w:pPr>
      <w:r>
        <w:t xml:space="preserve">Flexibility considerations</w:t>
      </w:r>
    </w:p>
    <w:p>
      <w:pPr>
        <w:pStyle w:val="Compact"/>
        <w:numPr>
          <w:ilvl w:val="1"/>
          <w:numId w:val="1010"/>
        </w:numPr>
      </w:pPr>
      <w:r>
        <w:t xml:space="preserve">Risk profiles</w:t>
      </w:r>
    </w:p>
    <w:p>
      <w:pPr>
        <w:pStyle w:val="Compact"/>
        <w:numPr>
          <w:ilvl w:val="1"/>
          <w:numId w:val="1010"/>
        </w:numPr>
      </w:pPr>
      <w:r>
        <w:t xml:space="preserve">Impact on corporate governance</w:t>
      </w:r>
    </w:p>
    <w:p>
      <w:pPr>
        <w:pStyle w:val="Compact"/>
        <w:numPr>
          <w:ilvl w:val="1"/>
          <w:numId w:val="1010"/>
        </w:numPr>
      </w:pPr>
      <w:r>
        <w:t xml:space="preserve">Gearing effects</w:t>
      </w:r>
    </w:p>
    <w:p>
      <w:pPr>
        <w:pStyle w:val="Compact"/>
        <w:numPr>
          <w:ilvl w:val="1"/>
          <w:numId w:val="1010"/>
        </w:numPr>
      </w:pPr>
      <w:r>
        <w:t xml:space="preserve">Tax implications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Matching Finance to Business Needs</w:t>
      </w:r>
    </w:p>
    <w:p>
      <w:pPr>
        <w:pStyle w:val="Compact"/>
        <w:numPr>
          <w:ilvl w:val="1"/>
          <w:numId w:val="1011"/>
        </w:numPr>
      </w:pPr>
      <w:r>
        <w:t xml:space="preserve">Financing the business lifecycle</w:t>
      </w:r>
    </w:p>
    <w:p>
      <w:pPr>
        <w:pStyle w:val="Compact"/>
        <w:numPr>
          <w:ilvl w:val="1"/>
          <w:numId w:val="1011"/>
        </w:numPr>
      </w:pPr>
      <w:r>
        <w:t xml:space="preserve">Project-specific financing</w:t>
      </w:r>
    </w:p>
    <w:p>
      <w:pPr>
        <w:pStyle w:val="Compact"/>
        <w:numPr>
          <w:ilvl w:val="1"/>
          <w:numId w:val="1011"/>
        </w:numPr>
      </w:pPr>
      <w:r>
        <w:t xml:space="preserve">International sources of finance</w:t>
      </w:r>
    </w:p>
    <w:p>
      <w:pPr>
        <w:pStyle w:val="Compact"/>
        <w:numPr>
          <w:ilvl w:val="1"/>
          <w:numId w:val="1011"/>
        </w:numPr>
      </w:pPr>
      <w:r>
        <w:t xml:space="preserve">Sustainable financing options</w:t>
      </w:r>
    </w:p>
    <w:bookmarkEnd w:id="34"/>
    <w:bookmarkStart w:id="35" w:name="learning-activities-1"/>
    <w:p>
      <w:pPr>
        <w:pStyle w:val="Heading3"/>
      </w:pPr>
      <w:r>
        <w:t xml:space="preserve">Learning Activities</w:t>
      </w:r>
    </w:p>
    <w:p>
      <w:pPr>
        <w:pStyle w:val="Compact"/>
        <w:numPr>
          <w:ilvl w:val="0"/>
          <w:numId w:val="1012"/>
        </w:numPr>
      </w:pPr>
      <w:r>
        <w:t xml:space="preserve">Group analysis of financing cases</w:t>
      </w:r>
    </w:p>
    <w:p>
      <w:pPr>
        <w:pStyle w:val="Compact"/>
        <w:numPr>
          <w:ilvl w:val="0"/>
          <w:numId w:val="1012"/>
        </w:numPr>
      </w:pPr>
      <w:r>
        <w:t xml:space="preserve">Financing decision scenarios</w:t>
      </w:r>
    </w:p>
    <w:p>
      <w:pPr>
        <w:pStyle w:val="Compact"/>
        <w:numPr>
          <w:ilvl w:val="0"/>
          <w:numId w:val="1012"/>
        </w:numPr>
      </w:pPr>
      <w:r>
        <w:t xml:space="preserve">Evaluation of gearing levels for different business types</w:t>
      </w:r>
    </w:p>
    <w:bookmarkEnd w:id="35"/>
    <w:bookmarkEnd w:id="36"/>
    <w:bookmarkStart w:id="40" w:name="afternoon-session-cost-of-capital"/>
    <w:p>
      <w:pPr>
        <w:pStyle w:val="Heading2"/>
      </w:pPr>
      <w:r>
        <w:t xml:space="preserve">Afternoon Session: Cost of Capital</w:t>
      </w:r>
    </w:p>
    <w:bookmarkStart w:id="37" w:name="overview-3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afternoon session focuses on calculating the cost of various capital components and the weighted average cost of capital (WACC) as a key tool for investment appraisal.</w:t>
      </w:r>
    </w:p>
    <w:bookmarkEnd w:id="37"/>
    <w:bookmarkStart w:id="38" w:name="key-topics-3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Cost of Equity</w:t>
      </w:r>
    </w:p>
    <w:p>
      <w:pPr>
        <w:pStyle w:val="Compact"/>
        <w:numPr>
          <w:ilvl w:val="1"/>
          <w:numId w:val="1014"/>
        </w:numPr>
      </w:pPr>
      <w:r>
        <w:t xml:space="preserve">Dividend valuation model</w:t>
      </w:r>
    </w:p>
    <w:p>
      <w:pPr>
        <w:pStyle w:val="Compact"/>
        <w:numPr>
          <w:ilvl w:val="1"/>
          <w:numId w:val="1014"/>
        </w:numPr>
      </w:pPr>
      <w:r>
        <w:t xml:space="preserve">Dividend growth model</w:t>
      </w:r>
    </w:p>
    <w:p>
      <w:pPr>
        <w:pStyle w:val="Compact"/>
        <w:numPr>
          <w:ilvl w:val="1"/>
          <w:numId w:val="1014"/>
        </w:numPr>
      </w:pPr>
      <w:r>
        <w:t xml:space="preserve">Capital Asset Pricing Model (CAPM)</w:t>
      </w:r>
    </w:p>
    <w:p>
      <w:pPr>
        <w:pStyle w:val="Compact"/>
        <w:numPr>
          <w:ilvl w:val="1"/>
          <w:numId w:val="1014"/>
        </w:numPr>
      </w:pPr>
      <w:r>
        <w:t xml:space="preserve">Risk and return relationships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Cost of Debt</w:t>
      </w:r>
    </w:p>
    <w:p>
      <w:pPr>
        <w:pStyle w:val="Compact"/>
        <w:numPr>
          <w:ilvl w:val="1"/>
          <w:numId w:val="1015"/>
        </w:numPr>
      </w:pPr>
      <w:r>
        <w:t xml:space="preserve">Cost of bank loans</w:t>
      </w:r>
    </w:p>
    <w:p>
      <w:pPr>
        <w:pStyle w:val="Compact"/>
        <w:numPr>
          <w:ilvl w:val="1"/>
          <w:numId w:val="1015"/>
        </w:numPr>
      </w:pPr>
      <w:r>
        <w:t xml:space="preserve">Cost of bonds and redeemable debentures</w:t>
      </w:r>
    </w:p>
    <w:p>
      <w:pPr>
        <w:pStyle w:val="Compact"/>
        <w:numPr>
          <w:ilvl w:val="1"/>
          <w:numId w:val="1015"/>
        </w:numPr>
      </w:pPr>
      <w:r>
        <w:t xml:space="preserve">Tax implications of debt</w:t>
      </w:r>
    </w:p>
    <w:p>
      <w:pPr>
        <w:pStyle w:val="Compact"/>
        <w:numPr>
          <w:ilvl w:val="1"/>
          <w:numId w:val="1015"/>
        </w:numPr>
      </w:pPr>
      <w:r>
        <w:t xml:space="preserve">Market value calculations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Weighted Average Cost of Capital (WACC)</w:t>
      </w:r>
    </w:p>
    <w:p>
      <w:pPr>
        <w:pStyle w:val="Compact"/>
        <w:numPr>
          <w:ilvl w:val="1"/>
          <w:numId w:val="1016"/>
        </w:numPr>
      </w:pPr>
      <w:r>
        <w:t xml:space="preserve">Formula and applications</w:t>
      </w:r>
    </w:p>
    <w:p>
      <w:pPr>
        <w:pStyle w:val="Compact"/>
        <w:numPr>
          <w:ilvl w:val="1"/>
          <w:numId w:val="1016"/>
        </w:numPr>
      </w:pPr>
      <w:r>
        <w:t xml:space="preserve">Calculation methods</w:t>
      </w:r>
    </w:p>
    <w:p>
      <w:pPr>
        <w:pStyle w:val="Compact"/>
        <w:numPr>
          <w:ilvl w:val="1"/>
          <w:numId w:val="1016"/>
        </w:numPr>
      </w:pPr>
      <w:r>
        <w:t xml:space="preserve">WACC limitations</w:t>
      </w:r>
    </w:p>
    <w:p>
      <w:pPr>
        <w:pStyle w:val="Compact"/>
        <w:numPr>
          <w:ilvl w:val="1"/>
          <w:numId w:val="1016"/>
        </w:numPr>
      </w:pPr>
      <w:r>
        <w:t xml:space="preserve">Use in investment appraisal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Capital Structure Theory</w:t>
      </w:r>
    </w:p>
    <w:p>
      <w:pPr>
        <w:pStyle w:val="Compact"/>
        <w:numPr>
          <w:ilvl w:val="1"/>
          <w:numId w:val="1017"/>
        </w:numPr>
      </w:pPr>
      <w:r>
        <w:t xml:space="preserve">Modigliani and Miller propositions</w:t>
      </w:r>
    </w:p>
    <w:p>
      <w:pPr>
        <w:pStyle w:val="Compact"/>
        <w:numPr>
          <w:ilvl w:val="1"/>
          <w:numId w:val="1017"/>
        </w:numPr>
      </w:pPr>
      <w:r>
        <w:t xml:space="preserve">Trade-off theory</w:t>
      </w:r>
    </w:p>
    <w:p>
      <w:pPr>
        <w:pStyle w:val="Compact"/>
        <w:numPr>
          <w:ilvl w:val="1"/>
          <w:numId w:val="1017"/>
        </w:numPr>
      </w:pPr>
      <w:r>
        <w:t xml:space="preserve">Pecking order theory</w:t>
      </w:r>
    </w:p>
    <w:p>
      <w:pPr>
        <w:pStyle w:val="Compact"/>
        <w:numPr>
          <w:ilvl w:val="1"/>
          <w:numId w:val="1017"/>
        </w:numPr>
      </w:pPr>
      <w:r>
        <w:t xml:space="preserve">Optimal capital structure</w:t>
      </w:r>
    </w:p>
    <w:bookmarkEnd w:id="38"/>
    <w:bookmarkStart w:id="39" w:name="practical-applications-1"/>
    <w:p>
      <w:pPr>
        <w:pStyle w:val="Heading3"/>
      </w:pPr>
      <w:r>
        <w:t xml:space="preserve">Practical Applications</w:t>
      </w:r>
    </w:p>
    <w:p>
      <w:pPr>
        <w:pStyle w:val="Compact"/>
        <w:numPr>
          <w:ilvl w:val="0"/>
          <w:numId w:val="1018"/>
        </w:numPr>
      </w:pPr>
      <w:r>
        <w:t xml:space="preserve">Calculating cost of equity using multiple methods</w:t>
      </w:r>
    </w:p>
    <w:p>
      <w:pPr>
        <w:pStyle w:val="Compact"/>
        <w:numPr>
          <w:ilvl w:val="0"/>
          <w:numId w:val="1018"/>
        </w:numPr>
      </w:pPr>
      <w:r>
        <w:t xml:space="preserve">Determining cost of debt for different debt instruments</w:t>
      </w:r>
    </w:p>
    <w:p>
      <w:pPr>
        <w:pStyle w:val="Compact"/>
        <w:numPr>
          <w:ilvl w:val="0"/>
          <w:numId w:val="1018"/>
        </w:numPr>
      </w:pPr>
      <w:r>
        <w:t xml:space="preserve">Computing firm-wide WACC</w:t>
      </w:r>
    </w:p>
    <w:p>
      <w:pPr>
        <w:pStyle w:val="Compact"/>
        <w:numPr>
          <w:ilvl w:val="0"/>
          <w:numId w:val="1018"/>
        </w:numPr>
      </w:pPr>
      <w:r>
        <w:t xml:space="preserve">Evaluating capital structure decisions</w:t>
      </w:r>
    </w:p>
    <w:bookmarkEnd w:id="39"/>
    <w:bookmarkEnd w:id="40"/>
    <w:bookmarkEnd w:id="41"/>
    <w:bookmarkStart w:id="50" w:name="day-3-dividend-policy-working-capital"/>
    <w:p>
      <w:pPr>
        <w:pStyle w:val="Heading1"/>
      </w:pPr>
      <w:r>
        <w:t xml:space="preserve">Day 3: Dividend Policy &amp; Working Capital</w:t>
      </w:r>
    </w:p>
    <w:bookmarkStart w:id="45" w:name="morning-session-dividend-policy"/>
    <w:p>
      <w:pPr>
        <w:pStyle w:val="Heading2"/>
      </w:pPr>
      <w:r>
        <w:t xml:space="preserve">Morning Session: Dividend Policy</w:t>
      </w:r>
    </w:p>
    <w:bookmarkStart w:id="42" w:name="overview-4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morning session explores dividend theory and policy decisions, including factors that influence dividend decisions and practical considerations for businesses.</w:t>
      </w:r>
    </w:p>
    <w:bookmarkEnd w:id="42"/>
    <w:bookmarkStart w:id="43" w:name="key-topics-4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Dividend Theories</w:t>
      </w:r>
    </w:p>
    <w:p>
      <w:pPr>
        <w:pStyle w:val="Compact"/>
        <w:numPr>
          <w:ilvl w:val="1"/>
          <w:numId w:val="1020"/>
        </w:numPr>
      </w:pPr>
      <w:r>
        <w:t xml:space="preserve">Dividend irrelevance theory</w:t>
      </w:r>
    </w:p>
    <w:p>
      <w:pPr>
        <w:pStyle w:val="Compact"/>
        <w:numPr>
          <w:ilvl w:val="1"/>
          <w:numId w:val="1020"/>
        </w:numPr>
      </w:pPr>
      <w:r>
        <w:t xml:space="preserve">Bird-in-hand theory</w:t>
      </w:r>
    </w:p>
    <w:p>
      <w:pPr>
        <w:pStyle w:val="Compact"/>
        <w:numPr>
          <w:ilvl w:val="1"/>
          <w:numId w:val="1020"/>
        </w:numPr>
      </w:pPr>
      <w:r>
        <w:t xml:space="preserve">Tax preference theory</w:t>
      </w:r>
    </w:p>
    <w:p>
      <w:pPr>
        <w:pStyle w:val="Compact"/>
        <w:numPr>
          <w:ilvl w:val="1"/>
          <w:numId w:val="1020"/>
        </w:numPr>
      </w:pPr>
      <w:r>
        <w:t xml:space="preserve">Signaling theory</w:t>
      </w:r>
    </w:p>
    <w:p>
      <w:pPr>
        <w:pStyle w:val="Compact"/>
        <w:numPr>
          <w:ilvl w:val="1"/>
          <w:numId w:val="1020"/>
        </w:numPr>
      </w:pPr>
      <w:r>
        <w:t xml:space="preserve">Clientele effect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Dividend Policy Decisions</w:t>
      </w:r>
    </w:p>
    <w:p>
      <w:pPr>
        <w:pStyle w:val="Compact"/>
        <w:numPr>
          <w:ilvl w:val="1"/>
          <w:numId w:val="1021"/>
        </w:numPr>
      </w:pPr>
      <w:r>
        <w:t xml:space="preserve">Dividend payout ratio</w:t>
      </w:r>
    </w:p>
    <w:p>
      <w:pPr>
        <w:pStyle w:val="Compact"/>
        <w:numPr>
          <w:ilvl w:val="1"/>
          <w:numId w:val="1021"/>
        </w:numPr>
      </w:pPr>
      <w:r>
        <w:t xml:space="preserve">Dividend stability</w:t>
      </w:r>
    </w:p>
    <w:p>
      <w:pPr>
        <w:pStyle w:val="Compact"/>
        <w:numPr>
          <w:ilvl w:val="1"/>
          <w:numId w:val="1021"/>
        </w:numPr>
      </w:pPr>
      <w:r>
        <w:t xml:space="preserve">Legal and contractual constraints</w:t>
      </w:r>
    </w:p>
    <w:p>
      <w:pPr>
        <w:pStyle w:val="Compact"/>
        <w:numPr>
          <w:ilvl w:val="1"/>
          <w:numId w:val="1021"/>
        </w:numPr>
      </w:pPr>
      <w:r>
        <w:t xml:space="preserve">Growth prospects and financing needs</w:t>
      </w:r>
    </w:p>
    <w:p>
      <w:pPr>
        <w:pStyle w:val="Compact"/>
        <w:numPr>
          <w:ilvl w:val="1"/>
          <w:numId w:val="1021"/>
        </w:numPr>
      </w:pPr>
      <w:r>
        <w:t xml:space="preserve">Shareholder preferences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Practical Considerations</w:t>
      </w:r>
    </w:p>
    <w:p>
      <w:pPr>
        <w:pStyle w:val="Compact"/>
        <w:numPr>
          <w:ilvl w:val="1"/>
          <w:numId w:val="1022"/>
        </w:numPr>
      </w:pPr>
      <w:r>
        <w:t xml:space="preserve">Cash vs. stock dividends</w:t>
      </w:r>
    </w:p>
    <w:p>
      <w:pPr>
        <w:pStyle w:val="Compact"/>
        <w:numPr>
          <w:ilvl w:val="1"/>
          <w:numId w:val="1022"/>
        </w:numPr>
      </w:pPr>
      <w:r>
        <w:t xml:space="preserve">Share repurchases</w:t>
      </w:r>
    </w:p>
    <w:p>
      <w:pPr>
        <w:pStyle w:val="Compact"/>
        <w:numPr>
          <w:ilvl w:val="1"/>
          <w:numId w:val="1022"/>
        </w:numPr>
      </w:pPr>
      <w:r>
        <w:t xml:space="preserve">Special dividends</w:t>
      </w:r>
    </w:p>
    <w:p>
      <w:pPr>
        <w:pStyle w:val="Compact"/>
        <w:numPr>
          <w:ilvl w:val="1"/>
          <w:numId w:val="1022"/>
        </w:numPr>
      </w:pPr>
      <w:r>
        <w:t xml:space="preserve">International dividend practices</w:t>
      </w:r>
    </w:p>
    <w:bookmarkEnd w:id="43"/>
    <w:bookmarkStart w:id="44" w:name="learning-activities-2"/>
    <w:p>
      <w:pPr>
        <w:pStyle w:val="Heading3"/>
      </w:pPr>
      <w:r>
        <w:t xml:space="preserve">Learning Activities</w:t>
      </w:r>
    </w:p>
    <w:p>
      <w:pPr>
        <w:pStyle w:val="Compact"/>
        <w:numPr>
          <w:ilvl w:val="0"/>
          <w:numId w:val="1023"/>
        </w:numPr>
      </w:pPr>
      <w:r>
        <w:t xml:space="preserve">Dividend policy case studies</w:t>
      </w:r>
    </w:p>
    <w:p>
      <w:pPr>
        <w:pStyle w:val="Compact"/>
        <w:numPr>
          <w:ilvl w:val="0"/>
          <w:numId w:val="1023"/>
        </w:numPr>
      </w:pPr>
      <w:r>
        <w:t xml:space="preserve">Dividend decision role-playing</w:t>
      </w:r>
    </w:p>
    <w:p>
      <w:pPr>
        <w:pStyle w:val="Compact"/>
        <w:numPr>
          <w:ilvl w:val="0"/>
          <w:numId w:val="1023"/>
        </w:numPr>
      </w:pPr>
      <w:r>
        <w:t xml:space="preserve">Analysis of corporate dividend announcements</w:t>
      </w:r>
    </w:p>
    <w:bookmarkEnd w:id="44"/>
    <w:bookmarkEnd w:id="45"/>
    <w:bookmarkStart w:id="49" w:name="Xe7538c915548fe34a16fadfdea4635c89e52894"/>
    <w:p>
      <w:pPr>
        <w:pStyle w:val="Heading2"/>
      </w:pPr>
      <w:r>
        <w:t xml:space="preserve">Afternoon Session: Working Capital Management</w:t>
      </w:r>
    </w:p>
    <w:bookmarkStart w:id="46" w:name="overview-5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afternoon session focuses on the management of current assets and liabilities to ensure operational efficiency while maintaining liquidity.</w:t>
      </w:r>
    </w:p>
    <w:bookmarkEnd w:id="46"/>
    <w:bookmarkStart w:id="47" w:name="key-topics-5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Working Capital Fundamentals</w:t>
      </w:r>
    </w:p>
    <w:p>
      <w:pPr>
        <w:pStyle w:val="Compact"/>
        <w:numPr>
          <w:ilvl w:val="1"/>
          <w:numId w:val="1025"/>
        </w:numPr>
      </w:pPr>
      <w:r>
        <w:t xml:space="preserve">Working capital cycle</w:t>
      </w:r>
    </w:p>
    <w:p>
      <w:pPr>
        <w:pStyle w:val="Compact"/>
        <w:numPr>
          <w:ilvl w:val="1"/>
          <w:numId w:val="1025"/>
        </w:numPr>
      </w:pPr>
      <w:r>
        <w:t xml:space="preserve">Working capital needs by industry</w:t>
      </w:r>
    </w:p>
    <w:p>
      <w:pPr>
        <w:pStyle w:val="Compact"/>
        <w:numPr>
          <w:ilvl w:val="1"/>
          <w:numId w:val="1025"/>
        </w:numPr>
      </w:pPr>
      <w:r>
        <w:t xml:space="preserve">Operating and cash conversion cycles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Cash Management</w:t>
      </w:r>
    </w:p>
    <w:p>
      <w:pPr>
        <w:pStyle w:val="Compact"/>
        <w:numPr>
          <w:ilvl w:val="1"/>
          <w:numId w:val="1026"/>
        </w:numPr>
      </w:pPr>
      <w:r>
        <w:t xml:space="preserve">Cash forecasting</w:t>
      </w:r>
    </w:p>
    <w:p>
      <w:pPr>
        <w:pStyle w:val="Compact"/>
        <w:numPr>
          <w:ilvl w:val="1"/>
          <w:numId w:val="1026"/>
        </w:numPr>
      </w:pPr>
      <w:r>
        <w:t xml:space="preserve">Cash flow optimization</w:t>
      </w:r>
    </w:p>
    <w:p>
      <w:pPr>
        <w:pStyle w:val="Compact"/>
        <w:numPr>
          <w:ilvl w:val="1"/>
          <w:numId w:val="1026"/>
        </w:numPr>
      </w:pPr>
      <w:r>
        <w:t xml:space="preserve">Short-term investment of surplus cash</w:t>
      </w:r>
    </w:p>
    <w:p>
      <w:pPr>
        <w:pStyle w:val="Compact"/>
        <w:numPr>
          <w:ilvl w:val="1"/>
          <w:numId w:val="1026"/>
        </w:numPr>
      </w:pPr>
      <w:r>
        <w:t xml:space="preserve">Treasury management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Inventory Management</w:t>
      </w:r>
    </w:p>
    <w:p>
      <w:pPr>
        <w:pStyle w:val="Compact"/>
        <w:numPr>
          <w:ilvl w:val="1"/>
          <w:numId w:val="1027"/>
        </w:numPr>
      </w:pPr>
      <w:r>
        <w:t xml:space="preserve">Economic order quantity</w:t>
      </w:r>
    </w:p>
    <w:p>
      <w:pPr>
        <w:pStyle w:val="Compact"/>
        <w:numPr>
          <w:ilvl w:val="1"/>
          <w:numId w:val="1027"/>
        </w:numPr>
      </w:pPr>
      <w:r>
        <w:t xml:space="preserve">Just-in-time inventory</w:t>
      </w:r>
    </w:p>
    <w:p>
      <w:pPr>
        <w:pStyle w:val="Compact"/>
        <w:numPr>
          <w:ilvl w:val="1"/>
          <w:numId w:val="1027"/>
        </w:numPr>
      </w:pPr>
      <w:r>
        <w:t xml:space="preserve">Inventory control systems</w:t>
      </w:r>
    </w:p>
    <w:p>
      <w:pPr>
        <w:pStyle w:val="Compact"/>
        <w:numPr>
          <w:ilvl w:val="1"/>
          <w:numId w:val="1027"/>
        </w:numPr>
      </w:pPr>
      <w:r>
        <w:t xml:space="preserve">Stock valuation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Credit Management</w:t>
      </w:r>
    </w:p>
    <w:p>
      <w:pPr>
        <w:pStyle w:val="Compact"/>
        <w:numPr>
          <w:ilvl w:val="1"/>
          <w:numId w:val="1028"/>
        </w:numPr>
      </w:pPr>
      <w:r>
        <w:t xml:space="preserve">Credit policy decisions</w:t>
      </w:r>
    </w:p>
    <w:p>
      <w:pPr>
        <w:pStyle w:val="Compact"/>
        <w:numPr>
          <w:ilvl w:val="1"/>
          <w:numId w:val="1028"/>
        </w:numPr>
      </w:pPr>
      <w:r>
        <w:t xml:space="preserve">Credit evaluation</w:t>
      </w:r>
    </w:p>
    <w:p>
      <w:pPr>
        <w:pStyle w:val="Compact"/>
        <w:numPr>
          <w:ilvl w:val="1"/>
          <w:numId w:val="1028"/>
        </w:numPr>
      </w:pPr>
      <w:r>
        <w:t xml:space="preserve">Collection procedures</w:t>
      </w:r>
    </w:p>
    <w:p>
      <w:pPr>
        <w:pStyle w:val="Compact"/>
        <w:numPr>
          <w:ilvl w:val="1"/>
          <w:numId w:val="1028"/>
        </w:numPr>
      </w:pPr>
      <w:r>
        <w:t xml:space="preserve">Accounts receivable financing</w:t>
      </w:r>
    </w:p>
    <w:bookmarkEnd w:id="47"/>
    <w:bookmarkStart w:id="48" w:name="practical-applications-2"/>
    <w:p>
      <w:pPr>
        <w:pStyle w:val="Heading3"/>
      </w:pPr>
      <w:r>
        <w:t xml:space="preserve">Practical Applications</w:t>
      </w:r>
    </w:p>
    <w:p>
      <w:pPr>
        <w:pStyle w:val="Compact"/>
        <w:numPr>
          <w:ilvl w:val="0"/>
          <w:numId w:val="1029"/>
        </w:numPr>
      </w:pPr>
      <w:r>
        <w:t xml:space="preserve">Working capital ratio analysis</w:t>
      </w:r>
    </w:p>
    <w:p>
      <w:pPr>
        <w:pStyle w:val="Compact"/>
        <w:numPr>
          <w:ilvl w:val="1"/>
          <w:numId w:val="1030"/>
        </w:numPr>
      </w:pPr>
      <w:r>
        <w:t xml:space="preserve">Current ratio</w:t>
      </w:r>
    </w:p>
    <w:p>
      <w:pPr>
        <w:pStyle w:val="Compact"/>
        <w:numPr>
          <w:ilvl w:val="1"/>
          <w:numId w:val="1030"/>
        </w:numPr>
      </w:pPr>
      <w:r>
        <w:t xml:space="preserve">Quick ratio</w:t>
      </w:r>
    </w:p>
    <w:p>
      <w:pPr>
        <w:pStyle w:val="Compact"/>
        <w:numPr>
          <w:ilvl w:val="1"/>
          <w:numId w:val="1030"/>
        </w:numPr>
      </w:pPr>
      <w:r>
        <w:t xml:space="preserve">Working capital to sales ratio</w:t>
      </w:r>
    </w:p>
    <w:p>
      <w:pPr>
        <w:pStyle w:val="Compact"/>
        <w:numPr>
          <w:ilvl w:val="0"/>
          <w:numId w:val="1029"/>
        </w:numPr>
      </w:pPr>
      <w:r>
        <w:t xml:space="preserve">Cash flow forecasting exercises</w:t>
      </w:r>
    </w:p>
    <w:p>
      <w:pPr>
        <w:pStyle w:val="Compact"/>
        <w:numPr>
          <w:ilvl w:val="0"/>
          <w:numId w:val="1029"/>
        </w:numPr>
      </w:pPr>
      <w:r>
        <w:t xml:space="preserve">Credit policy evaluation</w:t>
      </w:r>
    </w:p>
    <w:bookmarkEnd w:id="48"/>
    <w:bookmarkEnd w:id="49"/>
    <w:bookmarkEnd w:id="50"/>
    <w:bookmarkStart w:id="59" w:name="day-4-applied-financial-management"/>
    <w:p>
      <w:pPr>
        <w:pStyle w:val="Heading1"/>
      </w:pPr>
      <w:r>
        <w:t xml:space="preserve">Day 4: Applied Financial Management</w:t>
      </w:r>
    </w:p>
    <w:bookmarkStart w:id="54" w:name="morning-session-integrated-case-studies"/>
    <w:p>
      <w:pPr>
        <w:pStyle w:val="Heading2"/>
      </w:pPr>
      <w:r>
        <w:t xml:space="preserve">Morning Session: Integrated Case Studies</w:t>
      </w:r>
    </w:p>
    <w:bookmarkStart w:id="51" w:name="overview-6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morning session applies the concepts learned throughout the module to comprehensive case studies, providing an opportunity for integrated financial analysis.</w:t>
      </w:r>
    </w:p>
    <w:bookmarkEnd w:id="51"/>
    <w:bookmarkStart w:id="52" w:name="key-topics-6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Comprehensive Financial Analysis</w:t>
      </w:r>
    </w:p>
    <w:p>
      <w:pPr>
        <w:pStyle w:val="Compact"/>
        <w:numPr>
          <w:ilvl w:val="1"/>
          <w:numId w:val="1032"/>
        </w:numPr>
      </w:pPr>
      <w:r>
        <w:t xml:space="preserve">Strategic financial management</w:t>
      </w:r>
    </w:p>
    <w:p>
      <w:pPr>
        <w:pStyle w:val="Compact"/>
        <w:numPr>
          <w:ilvl w:val="1"/>
          <w:numId w:val="1032"/>
        </w:numPr>
      </w:pPr>
      <w:r>
        <w:t xml:space="preserve">Financial performance evaluation</w:t>
      </w:r>
    </w:p>
    <w:p>
      <w:pPr>
        <w:pStyle w:val="Compact"/>
        <w:numPr>
          <w:ilvl w:val="1"/>
          <w:numId w:val="1032"/>
        </w:numPr>
      </w:pPr>
      <w:r>
        <w:t xml:space="preserve">Investment and financing decisions</w:t>
      </w:r>
    </w:p>
    <w:p>
      <w:pPr>
        <w:pStyle w:val="Compact"/>
        <w:numPr>
          <w:ilvl w:val="1"/>
          <w:numId w:val="1032"/>
        </w:numPr>
      </w:pPr>
      <w:r>
        <w:t xml:space="preserve">Risk assessment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Business Failure Prediction</w:t>
      </w:r>
    </w:p>
    <w:p>
      <w:pPr>
        <w:pStyle w:val="Compact"/>
        <w:numPr>
          <w:ilvl w:val="1"/>
          <w:numId w:val="1033"/>
        </w:numPr>
      </w:pPr>
      <w:r>
        <w:t xml:space="preserve">Financial distress indicators</w:t>
      </w:r>
    </w:p>
    <w:p>
      <w:pPr>
        <w:pStyle w:val="Compact"/>
        <w:numPr>
          <w:ilvl w:val="1"/>
          <w:numId w:val="1033"/>
        </w:numPr>
      </w:pPr>
      <w:r>
        <w:t xml:space="preserve">Z-score models</w:t>
      </w:r>
    </w:p>
    <w:p>
      <w:pPr>
        <w:pStyle w:val="Compact"/>
        <w:numPr>
          <w:ilvl w:val="1"/>
          <w:numId w:val="1033"/>
        </w:numPr>
      </w:pPr>
      <w:r>
        <w:t xml:space="preserve">Industry-specific warning signs</w:t>
      </w:r>
    </w:p>
    <w:p>
      <w:pPr>
        <w:pStyle w:val="Compact"/>
        <w:numPr>
          <w:ilvl w:val="1"/>
          <w:numId w:val="1033"/>
        </w:numPr>
      </w:pPr>
      <w:r>
        <w:t xml:space="preserve">Turnaround strategies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Financial Modeling</w:t>
      </w:r>
    </w:p>
    <w:p>
      <w:pPr>
        <w:pStyle w:val="Compact"/>
        <w:numPr>
          <w:ilvl w:val="1"/>
          <w:numId w:val="1034"/>
        </w:numPr>
      </w:pPr>
      <w:r>
        <w:t xml:space="preserve">Scenario analysis</w:t>
      </w:r>
    </w:p>
    <w:p>
      <w:pPr>
        <w:pStyle w:val="Compact"/>
        <w:numPr>
          <w:ilvl w:val="1"/>
          <w:numId w:val="1034"/>
        </w:numPr>
      </w:pPr>
      <w:r>
        <w:t xml:space="preserve">Sensitivity testing</w:t>
      </w:r>
    </w:p>
    <w:p>
      <w:pPr>
        <w:pStyle w:val="Compact"/>
        <w:numPr>
          <w:ilvl w:val="1"/>
          <w:numId w:val="1034"/>
        </w:numPr>
      </w:pPr>
      <w:r>
        <w:t xml:space="preserve">Monte Carlo simulation</w:t>
      </w:r>
    </w:p>
    <w:p>
      <w:pPr>
        <w:pStyle w:val="Compact"/>
        <w:numPr>
          <w:ilvl w:val="1"/>
          <w:numId w:val="1034"/>
        </w:numPr>
      </w:pPr>
      <w:r>
        <w:t xml:space="preserve">Financial projections</w:t>
      </w:r>
    </w:p>
    <w:bookmarkEnd w:id="52"/>
    <w:bookmarkStart w:id="53" w:name="learning-activities-3"/>
    <w:p>
      <w:pPr>
        <w:pStyle w:val="Heading3"/>
      </w:pPr>
      <w:r>
        <w:t xml:space="preserve">Learning Activities</w:t>
      </w:r>
    </w:p>
    <w:p>
      <w:pPr>
        <w:pStyle w:val="Compact"/>
        <w:numPr>
          <w:ilvl w:val="0"/>
          <w:numId w:val="1035"/>
        </w:numPr>
      </w:pPr>
      <w:r>
        <w:t xml:space="preserve">Team-based case analysis</w:t>
      </w:r>
    </w:p>
    <w:p>
      <w:pPr>
        <w:pStyle w:val="Compact"/>
        <w:numPr>
          <w:ilvl w:val="0"/>
          <w:numId w:val="1035"/>
        </w:numPr>
      </w:pPr>
      <w:r>
        <w:t xml:space="preserve">Financial recommendation presentations</w:t>
      </w:r>
    </w:p>
    <w:p>
      <w:pPr>
        <w:pStyle w:val="Compact"/>
        <w:numPr>
          <w:ilvl w:val="0"/>
          <w:numId w:val="1035"/>
        </w:numPr>
      </w:pPr>
      <w:r>
        <w:t xml:space="preserve">Peer review and feedback</w:t>
      </w:r>
    </w:p>
    <w:bookmarkEnd w:id="53"/>
    <w:bookmarkEnd w:id="54"/>
    <w:bookmarkStart w:id="58" w:name="afternoon-session-exam-preparation"/>
    <w:p>
      <w:pPr>
        <w:pStyle w:val="Heading2"/>
      </w:pPr>
      <w:r>
        <w:t xml:space="preserve">Afternoon Session: Exam Preparation</w:t>
      </w:r>
    </w:p>
    <w:bookmarkStart w:id="55" w:name="overview-7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afternoon session focuses on revision of key concepts and exam techniques to prepare students for the final assessment.</w:t>
      </w:r>
    </w:p>
    <w:bookmarkEnd w:id="55"/>
    <w:bookmarkStart w:id="56" w:name="key-topics-7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Review of Key Concepts</w:t>
      </w:r>
    </w:p>
    <w:p>
      <w:pPr>
        <w:pStyle w:val="Compact"/>
        <w:numPr>
          <w:ilvl w:val="1"/>
          <w:numId w:val="1037"/>
        </w:numPr>
      </w:pPr>
      <w:r>
        <w:t xml:space="preserve">Investment appraisal techniques</w:t>
      </w:r>
    </w:p>
    <w:p>
      <w:pPr>
        <w:pStyle w:val="Compact"/>
        <w:numPr>
          <w:ilvl w:val="1"/>
          <w:numId w:val="1037"/>
        </w:numPr>
      </w:pPr>
      <w:r>
        <w:t xml:space="preserve">Financing decisions</w:t>
      </w:r>
    </w:p>
    <w:p>
      <w:pPr>
        <w:pStyle w:val="Compact"/>
        <w:numPr>
          <w:ilvl w:val="1"/>
          <w:numId w:val="1037"/>
        </w:numPr>
      </w:pPr>
      <w:r>
        <w:t xml:space="preserve">Cost of capital</w:t>
      </w:r>
    </w:p>
    <w:p>
      <w:pPr>
        <w:pStyle w:val="Compact"/>
        <w:numPr>
          <w:ilvl w:val="1"/>
          <w:numId w:val="1037"/>
        </w:numPr>
      </w:pPr>
      <w:r>
        <w:t xml:space="preserve">Dividend policy</w:t>
      </w:r>
    </w:p>
    <w:p>
      <w:pPr>
        <w:pStyle w:val="Compact"/>
        <w:numPr>
          <w:ilvl w:val="1"/>
          <w:numId w:val="1037"/>
        </w:numPr>
      </w:pPr>
      <w:r>
        <w:t xml:space="preserve">Working capital management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Exam Techniques</w:t>
      </w:r>
    </w:p>
    <w:p>
      <w:pPr>
        <w:pStyle w:val="Compact"/>
        <w:numPr>
          <w:ilvl w:val="1"/>
          <w:numId w:val="1038"/>
        </w:numPr>
      </w:pPr>
      <w:r>
        <w:t xml:space="preserve">Understanding question requirements</w:t>
      </w:r>
    </w:p>
    <w:p>
      <w:pPr>
        <w:pStyle w:val="Compact"/>
        <w:numPr>
          <w:ilvl w:val="1"/>
          <w:numId w:val="1038"/>
        </w:numPr>
      </w:pPr>
      <w:r>
        <w:t xml:space="preserve">Time management</w:t>
      </w:r>
    </w:p>
    <w:p>
      <w:pPr>
        <w:pStyle w:val="Compact"/>
        <w:numPr>
          <w:ilvl w:val="1"/>
          <w:numId w:val="1038"/>
        </w:numPr>
      </w:pPr>
      <w:r>
        <w:t xml:space="preserve">Structured answers</w:t>
      </w:r>
    </w:p>
    <w:p>
      <w:pPr>
        <w:pStyle w:val="Compact"/>
        <w:numPr>
          <w:ilvl w:val="1"/>
          <w:numId w:val="1038"/>
        </w:numPr>
      </w:pPr>
      <w:r>
        <w:t xml:space="preserve">Numerical analysis presentation</w:t>
      </w:r>
    </w:p>
    <w:p>
      <w:pPr>
        <w:pStyle w:val="Compact"/>
        <w:numPr>
          <w:ilvl w:val="1"/>
          <w:numId w:val="1038"/>
        </w:numPr>
      </w:pPr>
      <w:r>
        <w:t xml:space="preserve">Critical evaluation skills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Practice Questions</w:t>
      </w:r>
    </w:p>
    <w:p>
      <w:pPr>
        <w:pStyle w:val="Compact"/>
        <w:numPr>
          <w:ilvl w:val="1"/>
          <w:numId w:val="1039"/>
        </w:numPr>
      </w:pPr>
      <w:r>
        <w:t xml:space="preserve">Short answer questions</w:t>
      </w:r>
    </w:p>
    <w:p>
      <w:pPr>
        <w:pStyle w:val="Compact"/>
        <w:numPr>
          <w:ilvl w:val="1"/>
          <w:numId w:val="1039"/>
        </w:numPr>
      </w:pPr>
      <w:r>
        <w:t xml:space="preserve">Numerical problems</w:t>
      </w:r>
    </w:p>
    <w:p>
      <w:pPr>
        <w:pStyle w:val="Compact"/>
        <w:numPr>
          <w:ilvl w:val="1"/>
          <w:numId w:val="1039"/>
        </w:numPr>
      </w:pPr>
      <w:r>
        <w:t xml:space="preserve">Case-based scenarios</w:t>
      </w:r>
    </w:p>
    <w:p>
      <w:pPr>
        <w:pStyle w:val="Compact"/>
        <w:numPr>
          <w:ilvl w:val="1"/>
          <w:numId w:val="1039"/>
        </w:numPr>
      </w:pPr>
      <w:r>
        <w:t xml:space="preserve">Essay-style questions</w:t>
      </w:r>
    </w:p>
    <w:bookmarkEnd w:id="56"/>
    <w:bookmarkStart w:id="57" w:name="activities"/>
    <w:p>
      <w:pPr>
        <w:pStyle w:val="Heading3"/>
      </w:pPr>
      <w:r>
        <w:t xml:space="preserve">Activities</w:t>
      </w:r>
    </w:p>
    <w:p>
      <w:pPr>
        <w:pStyle w:val="Compact"/>
        <w:numPr>
          <w:ilvl w:val="0"/>
          <w:numId w:val="1040"/>
        </w:numPr>
      </w:pPr>
      <w:r>
        <w:t xml:space="preserve">Mock exam questions</w:t>
      </w:r>
    </w:p>
    <w:p>
      <w:pPr>
        <w:pStyle w:val="Compact"/>
        <w:numPr>
          <w:ilvl w:val="0"/>
          <w:numId w:val="1040"/>
        </w:numPr>
      </w:pPr>
      <w:r>
        <w:t xml:space="preserve">Group revision sessions</w:t>
      </w:r>
    </w:p>
    <w:p>
      <w:pPr>
        <w:pStyle w:val="Compact"/>
        <w:numPr>
          <w:ilvl w:val="0"/>
          <w:numId w:val="1040"/>
        </w:numPr>
      </w:pPr>
      <w:r>
        <w:t xml:space="preserve">Q&amp;A on challenging topics</w:t>
      </w:r>
    </w:p>
    <w:bookmarkEnd w:id="57"/>
    <w:bookmarkEnd w:id="58"/>
    <w:bookmarkEnd w:id="59"/>
    <w:bookmarkStart w:id="62" w:name="assessment-information"/>
    <w:p>
      <w:pPr>
        <w:pStyle w:val="Heading1"/>
      </w:pPr>
      <w:r>
        <w:t xml:space="preserve">Assessment Information</w:t>
      </w:r>
    </w:p>
    <w:bookmarkStart w:id="60" w:name="coursework-50"/>
    <w:p>
      <w:pPr>
        <w:pStyle w:val="Heading2"/>
      </w:pPr>
      <w:r>
        <w:t xml:space="preserve">Coursework (50%)</w:t>
      </w:r>
    </w:p>
    <w:p>
      <w:pPr>
        <w:pStyle w:val="FirstParagraph"/>
      </w:pPr>
      <w:r>
        <w:rPr>
          <w:b/>
          <w:bCs/>
        </w:rPr>
        <w:t xml:space="preserve">Case Study Analysis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Due Date</w:t>
      </w:r>
      <w:r>
        <w:t xml:space="preserve">: 07 June 2025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Word Limit</w:t>
      </w:r>
      <w:r>
        <w:t xml:space="preserve">: 3,000 words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Submission</w:t>
      </w:r>
      <w:r>
        <w:t xml:space="preserve">: Via Blackboard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Format</w:t>
      </w:r>
      <w:r>
        <w:t xml:space="preserve">: Business report with financial analysis and recommendations</w:t>
      </w:r>
    </w:p>
    <w:p>
      <w:pPr>
        <w:pStyle w:val="BodyText"/>
      </w:pPr>
      <w:r>
        <w:t xml:space="preserve">The coursework will involve a comprehensive analysis of a case company, requiring students to:</w:t>
      </w:r>
      <w:r>
        <w:t xml:space="preserve"> </w:t>
      </w:r>
      <w:r>
        <w:t xml:space="preserve">- Evaluate the financial position of the company</w:t>
      </w:r>
      <w:r>
        <w:t xml:space="preserve"> </w:t>
      </w:r>
      <w:r>
        <w:t xml:space="preserve">- Assess an investment opportunity using appropriate techniques</w:t>
      </w:r>
      <w:r>
        <w:t xml:space="preserve"> </w:t>
      </w:r>
      <w:r>
        <w:t xml:space="preserve">- Recommend financing options</w:t>
      </w:r>
      <w:r>
        <w:t xml:space="preserve"> </w:t>
      </w:r>
      <w:r>
        <w:t xml:space="preserve">- Consider dividend policy implications</w:t>
      </w:r>
      <w:r>
        <w:t xml:space="preserve"> </w:t>
      </w:r>
      <w:r>
        <w:t xml:space="preserve">- Propose working capital management improvements</w:t>
      </w:r>
    </w:p>
    <w:bookmarkEnd w:id="60"/>
    <w:bookmarkStart w:id="61" w:name="examination-50"/>
    <w:p>
      <w:pPr>
        <w:pStyle w:val="Heading2"/>
      </w:pPr>
      <w:r>
        <w:t xml:space="preserve">Examination (50%)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Format</w:t>
      </w:r>
      <w:r>
        <w:t xml:space="preserve">: 3-hour written examination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Date</w:t>
      </w:r>
      <w:r>
        <w:t xml:space="preserve">: During exam period (Date TBC)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Coverage</w:t>
      </w:r>
      <w:r>
        <w:t xml:space="preserve">: All module content</w:t>
      </w:r>
    </w:p>
    <w:p>
      <w:pPr>
        <w:pStyle w:val="FirstParagraph"/>
      </w:pPr>
      <w:r>
        <w:t xml:space="preserve">The examination will consist of:</w:t>
      </w:r>
      <w:r>
        <w:t xml:space="preserve"> </w:t>
      </w:r>
      <w:r>
        <w:t xml:space="preserve">- Section A: Compulsory question based on a case scenario (40 marks)</w:t>
      </w:r>
      <w:r>
        <w:t xml:space="preserve"> </w:t>
      </w:r>
      <w:r>
        <w:t xml:space="preserve">- Section B: Choice of 2 questions from 3, each worth 30 marks</w:t>
      </w:r>
    </w:p>
    <w:bookmarkEnd w:id="61"/>
    <w:bookmarkEnd w:id="62"/>
    <w:bookmarkStart w:id="66" w:name="resources-and-readings"/>
    <w:p>
      <w:pPr>
        <w:pStyle w:val="Heading1"/>
      </w:pPr>
      <w:r>
        <w:t xml:space="preserve">Resources and Readings</w:t>
      </w:r>
    </w:p>
    <w:bookmarkStart w:id="63" w:name="core-reading"/>
    <w:p>
      <w:pPr>
        <w:pStyle w:val="Heading2"/>
      </w:pPr>
      <w:r>
        <w:t xml:space="preserve">Core Reading</w:t>
      </w:r>
    </w:p>
    <w:p>
      <w:pPr>
        <w:pStyle w:val="Compact"/>
        <w:numPr>
          <w:ilvl w:val="0"/>
          <w:numId w:val="1042"/>
        </w:numPr>
      </w:pPr>
      <w:r>
        <w:t xml:space="preserve">Atrill, P. (2019)</w:t>
      </w:r>
      <w:r>
        <w:t xml:space="preserve"> </w:t>
      </w:r>
      <w:r>
        <w:rPr>
          <w:i/>
          <w:iCs/>
        </w:rPr>
        <w:t xml:space="preserve">Financial Management for Decision Makers</w:t>
      </w:r>
      <w:r>
        <w:t xml:space="preserve">. 9th ed. London: FT Prentice Hall.</w:t>
      </w:r>
    </w:p>
    <w:bookmarkEnd w:id="63"/>
    <w:bookmarkStart w:id="64" w:name="supplementary-reading"/>
    <w:p>
      <w:pPr>
        <w:pStyle w:val="Heading2"/>
      </w:pPr>
      <w:r>
        <w:t xml:space="preserve">Supplementary Reading</w:t>
      </w:r>
    </w:p>
    <w:p>
      <w:pPr>
        <w:pStyle w:val="Compact"/>
        <w:numPr>
          <w:ilvl w:val="0"/>
          <w:numId w:val="1043"/>
        </w:numPr>
      </w:pPr>
      <w:r>
        <w:t xml:space="preserve">Arnold, G. and Lewis, D. (2019)</w:t>
      </w:r>
      <w:r>
        <w:t xml:space="preserve"> </w:t>
      </w:r>
      <w:r>
        <w:rPr>
          <w:i/>
          <w:iCs/>
        </w:rPr>
        <w:t xml:space="preserve">Corporate Financial Management</w:t>
      </w:r>
      <w:r>
        <w:t xml:space="preserve">. 6th ed.</w:t>
      </w:r>
    </w:p>
    <w:p>
      <w:pPr>
        <w:pStyle w:val="Compact"/>
        <w:numPr>
          <w:ilvl w:val="0"/>
          <w:numId w:val="1043"/>
        </w:numPr>
      </w:pPr>
      <w:r>
        <w:t xml:space="preserve">Brealey, R., Myers, S. and Allen, F. (2019)</w:t>
      </w:r>
      <w:r>
        <w:t xml:space="preserve"> </w:t>
      </w:r>
      <w:r>
        <w:rPr>
          <w:i/>
          <w:iCs/>
        </w:rPr>
        <w:t xml:space="preserve">The Principles of Corporate Finance</w:t>
      </w:r>
      <w:r>
        <w:t xml:space="preserve">. 13th ed.</w:t>
      </w:r>
    </w:p>
    <w:p>
      <w:pPr>
        <w:pStyle w:val="Compact"/>
        <w:numPr>
          <w:ilvl w:val="0"/>
          <w:numId w:val="1043"/>
        </w:numPr>
      </w:pPr>
      <w:r>
        <w:t xml:space="preserve">Watson, D. and Head, A. (2019)</w:t>
      </w:r>
      <w:r>
        <w:t xml:space="preserve"> </w:t>
      </w:r>
      <w:r>
        <w:rPr>
          <w:i/>
          <w:iCs/>
        </w:rPr>
        <w:t xml:space="preserve">Corporate Finance Principles and Practice</w:t>
      </w:r>
      <w:r>
        <w:t xml:space="preserve">. 8th ed.</w:t>
      </w:r>
    </w:p>
    <w:bookmarkEnd w:id="64"/>
    <w:bookmarkStart w:id="65" w:name="online-resources"/>
    <w:p>
      <w:pPr>
        <w:pStyle w:val="Heading2"/>
      </w:pPr>
      <w:r>
        <w:t xml:space="preserve">Online Resources</w:t>
      </w:r>
    </w:p>
    <w:p>
      <w:pPr>
        <w:pStyle w:val="Compact"/>
        <w:numPr>
          <w:ilvl w:val="0"/>
          <w:numId w:val="1044"/>
        </w:numPr>
      </w:pPr>
      <w:r>
        <w:t xml:space="preserve">Financial Times articles on corporate finance</w:t>
      </w:r>
    </w:p>
    <w:p>
      <w:pPr>
        <w:pStyle w:val="Compact"/>
        <w:numPr>
          <w:ilvl w:val="0"/>
          <w:numId w:val="1044"/>
        </w:numPr>
      </w:pPr>
      <w:r>
        <w:t xml:space="preserve">Harvard Business Review case studies</w:t>
      </w:r>
    </w:p>
    <w:p>
      <w:pPr>
        <w:pStyle w:val="Compact"/>
        <w:numPr>
          <w:ilvl w:val="0"/>
          <w:numId w:val="1044"/>
        </w:numPr>
      </w:pPr>
      <w:r>
        <w:t xml:space="preserve">Module materials on Blackboard</w:t>
      </w:r>
    </w:p>
    <w:p>
      <w:pPr>
        <w:pStyle w:val="Compact"/>
        <w:numPr>
          <w:ilvl w:val="0"/>
          <w:numId w:val="1044"/>
        </w:numPr>
      </w:pPr>
      <w:r>
        <w:t xml:space="preserve">Financial databases available through the library</w:t>
      </w:r>
    </w:p>
    <w:bookmarkEnd w:id="65"/>
    <w:bookmarkEnd w:id="66"/>
    <w:bookmarkStart w:id="71" w:name="module-policies"/>
    <w:p>
      <w:pPr>
        <w:pStyle w:val="Heading1"/>
      </w:pPr>
      <w:r>
        <w:t xml:space="preserve">Module Policies</w:t>
      </w:r>
    </w:p>
    <w:bookmarkStart w:id="67" w:name="attendance"/>
    <w:p>
      <w:pPr>
        <w:pStyle w:val="Heading2"/>
      </w:pPr>
      <w:r>
        <w:t xml:space="preserve">Attendance</w:t>
      </w:r>
    </w:p>
    <w:p>
      <w:pPr>
        <w:pStyle w:val="FirstParagraph"/>
      </w:pPr>
      <w:r>
        <w:t xml:space="preserve">Attendance at all sessions of this intensive block course is mandatory. Due to the condensed nature of the course, absence from any session will significantly impact your learning experience.</w:t>
      </w:r>
    </w:p>
    <w:bookmarkEnd w:id="67"/>
    <w:bookmarkStart w:id="68" w:name="late-submissions"/>
    <w:p>
      <w:pPr>
        <w:pStyle w:val="Heading2"/>
      </w:pPr>
      <w:r>
        <w:t xml:space="preserve">Late Submissions</w:t>
      </w:r>
    </w:p>
    <w:p>
      <w:pPr>
        <w:pStyle w:val="FirstParagraph"/>
      </w:pPr>
      <w:r>
        <w:t xml:space="preserve">Late submissions of the coursework will be penalized according to university policy:</w:t>
      </w:r>
      <w:r>
        <w:t xml:space="preserve"> </w:t>
      </w:r>
      <w:r>
        <w:t xml:space="preserve">- Up to 5 working days late: work marked, maximum score 40%</w:t>
      </w:r>
      <w:r>
        <w:t xml:space="preserve"> </w:t>
      </w:r>
      <w:r>
        <w:t xml:space="preserve">- More than 5 working days late: zero marks</w:t>
      </w:r>
    </w:p>
    <w:bookmarkEnd w:id="68"/>
    <w:bookmarkStart w:id="69" w:name="academic-integrity"/>
    <w:p>
      <w:pPr>
        <w:pStyle w:val="Heading2"/>
      </w:pPr>
      <w:r>
        <w:t xml:space="preserve">Academic Integrity</w:t>
      </w:r>
    </w:p>
    <w:p>
      <w:pPr>
        <w:pStyle w:val="FirstParagraph"/>
      </w:pPr>
      <w:r>
        <w:t xml:space="preserve">All work submitted must be your own. Plagiarism and academic misconduct will be treated seriously according to university regulations. Please familiarize yourself with the university’s academic integrity policy.</w:t>
      </w:r>
    </w:p>
    <w:bookmarkEnd w:id="69"/>
    <w:bookmarkStart w:id="70" w:name="extensions"/>
    <w:p>
      <w:pPr>
        <w:pStyle w:val="Heading2"/>
      </w:pPr>
      <w:r>
        <w:t xml:space="preserve">Extensions</w:t>
      </w:r>
    </w:p>
    <w:p>
      <w:pPr>
        <w:pStyle w:val="FirstParagraph"/>
      </w:pPr>
      <w:r>
        <w:t xml:space="preserve">Extensions for the coursework submission may be granted in exceptional circumstances. Requests should be made in writing to the module coordinator at least 7 days before the submission deadline, accompanied by appropriate evidence.</w:t>
      </w:r>
    </w:p>
    <w:bookmarkEnd w:id="70"/>
    <w:bookmarkEnd w:id="71"/>
    <w:bookmarkStart w:id="72" w:name="contact-information"/>
    <w:p>
      <w:pPr>
        <w:pStyle w:val="Heading1"/>
      </w:pPr>
      <w:r>
        <w:t xml:space="preserve">Contact Information</w:t>
      </w:r>
    </w:p>
    <w:p>
      <w:pPr>
        <w:pStyle w:val="FirstParagraph"/>
      </w:pPr>
      <w:r>
        <w:rPr>
          <w:b/>
          <w:bCs/>
        </w:rPr>
        <w:t xml:space="preserve">Module Coordinator</w:t>
      </w:r>
      <w:r>
        <w:t xml:space="preserve">: Prof. Barry Quinn</w:t>
      </w:r>
      <w:r>
        <w:br/>
      </w:r>
      <w:r>
        <w:rPr>
          <w:b/>
          <w:bCs/>
        </w:rPr>
        <w:t xml:space="preserve">Email</w:t>
      </w:r>
      <w:r>
        <w:t xml:space="preserve">: b.quinn1@ulster.ac.uk</w:t>
      </w:r>
      <w:r>
        <w:br/>
      </w:r>
      <w:r>
        <w:rPr>
          <w:b/>
          <w:bCs/>
        </w:rPr>
        <w:t xml:space="preserve">Office Hours</w:t>
      </w:r>
      <w:r>
        <w:t xml:space="preserve">: By appointment during the block delivery</w:t>
      </w:r>
      <w:r>
        <w:br/>
      </w:r>
      <w:r>
        <w:rPr>
          <w:b/>
          <w:bCs/>
        </w:rPr>
        <w:t xml:space="preserve">Location</w:t>
      </w:r>
      <w:r>
        <w:t xml:space="preserve">: Belfast Campus, Room MC-204</w:t>
      </w:r>
    </w:p>
    <w:p>
      <w:pPr>
        <w:pStyle w:val="BodyText"/>
      </w:pPr>
      <w:r>
        <w:rPr>
          <w:b/>
          <w:bCs/>
        </w:rPr>
        <w:t xml:space="preserve">Programme Director</w:t>
      </w:r>
      <w:r>
        <w:t xml:space="preserve">: [Name]</w:t>
      </w:r>
      <w:r>
        <w:br/>
      </w:r>
      <w:r>
        <w:rPr>
          <w:b/>
          <w:bCs/>
        </w:rPr>
        <w:t xml:space="preserve">Email</w:t>
      </w:r>
      <w:r>
        <w:t xml:space="preserve">: [Email address]</w:t>
      </w:r>
      <w:r>
        <w:br/>
      </w:r>
      <w:r>
        <w:rPr>
          <w:b/>
          <w:bCs/>
        </w:rPr>
        <w:t xml:space="preserve">Office</w:t>
      </w:r>
      <w:r>
        <w:t xml:space="preserve">: [Location]</w:t>
      </w:r>
    </w:p>
    <w:p>
      <w:pPr>
        <w:pStyle w:val="BodyText"/>
      </w:pPr>
      <w:r>
        <w:t xml:space="preserve">For administrative queries:</w:t>
      </w:r>
      <w:r>
        <w:br/>
      </w:r>
      <w:r>
        <w:rPr>
          <w:b/>
          <w:bCs/>
        </w:rPr>
        <w:t xml:space="preserve">Course Office</w:t>
      </w:r>
      <w:r>
        <w:t xml:space="preserve">: [Contact details]</w:t>
      </w:r>
      <w:r>
        <w:br/>
      </w:r>
      <w:r>
        <w:rPr>
          <w:b/>
          <w:bCs/>
        </w:rPr>
        <w:t xml:space="preserve">Email</w:t>
      </w:r>
      <w:r>
        <w:t xml:space="preserve">: [Email address]</w:t>
      </w:r>
      <w:r>
        <w:br/>
      </w:r>
      <w:r>
        <w:rPr>
          <w:b/>
          <w:bCs/>
        </w:rPr>
        <w:t xml:space="preserve">Phone</w:t>
      </w:r>
      <w:r>
        <w:t xml:space="preserve">: [Phone number]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Corporate Financial Management</dc:title>
  <dc:creator>Module Code: ACF838</dc:creator>
  <cp:keywords/>
  <dcterms:created xsi:type="dcterms:W3CDTF">2025-05-14T13:50:53Z</dcterms:created>
  <dcterms:modified xsi:type="dcterms:W3CDTF">2025-05-14T13:50:53Z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2025-01-01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Module Handbook 2024/25</vt:lpwstr>
  </property>
  <property fmtid="{D5CDD505-2E9C-101B-9397-08002B2CF9AE}" pid="11" name="toc-title">
    <vt:lpwstr>Table of contents</vt:lpwstr>
  </property>
</Properties>
</file>