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7.png" ContentType="image/png"/>
  <Override PartName="/word/media/rId81.png" ContentType="image/png"/>
  <Override PartName="/word/media/rId85.png" ContentType="image/png"/>
  <Override PartName="/word/media/rId36.png" ContentType="image/png"/>
  <Override PartName="/word/media/rId90.png" ContentType="image/png"/>
  <Override PartName="/word/media/rId94.png" ContentType="image/png"/>
  <Override PartName="/word/media/rId98.png" ContentType="image/png"/>
  <Override PartName="/word/media/rId103.png" ContentType="image/png"/>
  <Override PartName="/word/media/rId107.png" ContentType="image/png"/>
  <Override PartName="/word/media/rId111.png" ContentType="image/png"/>
  <Override PartName="/word/media/rId23.png" ContentType="image/png"/>
  <Override PartName="/word/media/rId53.png" ContentType="image/png"/>
  <Override PartName="/word/media/rId45.png" ContentType="image/png"/>
  <Override PartName="/word/media/rId49.png" ContentType="image/png"/>
  <Override PartName="/word/media/rId27.png" ContentType="image/png"/>
  <Override PartName="/word/media/rId66.png" ContentType="image/png"/>
  <Override PartName="/word/media/rId58.png" ContentType="image/png"/>
  <Override PartName="/word/media/rId62.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Extreme</w:t>
      </w:r>
      <w:r>
        <w:t xml:space="preserve"> </w:t>
      </w:r>
      <w:r>
        <w:t xml:space="preserve">linkages</w:t>
      </w:r>
      <w:r>
        <w:t xml:space="preserve"> </w:t>
      </w:r>
      <w:r>
        <w:t xml:space="preserve">in</w:t>
      </w:r>
      <w:r>
        <w:t xml:space="preserve"> </w:t>
      </w:r>
      <w:r>
        <w:t xml:space="preserve">the</w:t>
      </w:r>
      <w:r>
        <w:t xml:space="preserve"> </w:t>
      </w:r>
      <w:r>
        <w:t xml:space="preserve">defence</w:t>
      </w:r>
      <w:r>
        <w:t xml:space="preserve"> </w:t>
      </w:r>
      <w:r>
        <w:t xml:space="preserve">and</w:t>
      </w:r>
      <w:r>
        <w:t xml:space="preserve"> </w:t>
      </w:r>
      <w:r>
        <w:t xml:space="preserve">aerospace</w:t>
      </w:r>
      <w:r>
        <w:t xml:space="preserve"> </w:t>
      </w:r>
      <w:r>
        <w:t xml:space="preserve">industry</w:t>
      </w:r>
    </w:p>
    <w:p>
      <w:pPr>
        <w:pStyle w:val="Author"/>
      </w:pPr>
      <w:r>
        <w:t xml:space="preserve">Elie</w:t>
      </w:r>
      <w:r>
        <w:t xml:space="preserve"> </w:t>
      </w:r>
      <w:r>
        <w:t xml:space="preserve">El</w:t>
      </w:r>
      <w:r>
        <w:t xml:space="preserve"> </w:t>
      </w:r>
      <w:r>
        <w:t xml:space="preserve">Bouri</w:t>
      </w:r>
    </w:p>
    <w:p>
      <w:pPr>
        <w:pStyle w:val="Author"/>
      </w:pPr>
      <w:r>
        <w:t xml:space="preserve">Lisa</w:t>
      </w:r>
      <w:r>
        <w:t xml:space="preserve"> </w:t>
      </w:r>
      <w:r>
        <w:t xml:space="preserve">Sheenan</w:t>
      </w:r>
    </w:p>
    <w:p>
      <w:pPr>
        <w:pStyle w:val="Author"/>
      </w:pPr>
      <w:r>
        <w:t xml:space="preserve">Barry</w:t>
      </w:r>
      <w:r>
        <w:t xml:space="preserve"> </w:t>
      </w:r>
      <w:r>
        <w:t xml:space="preserve">Quinn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2"/>
      </w:pPr>
      <w:r>
        <w:t xml:space="preserve">0.1 Abstract</w:t>
      </w:r>
    </w:p>
    <w:p>
      <w:pPr>
        <w:pStyle w:val="FirstParagraph"/>
      </w:pPr>
      <w:r>
        <w:t xml:space="preserve">Using quantile-based models, we study the system of return and volatility spillovers among 21 global defence and aerospace companies covering six countries (US, UK, France, Germany, China, Singapore) and three continents (North America, Europe, and Asia) over the period 23 August 2010 – July 1, 2022. The results are summarized as follows. Firstly, both return and volatility spillover measures fluctuate with time, and especially those estimated at the middle quantiles tend to intensity during crisis periods such as the COVID-19 outbreak. Secondly, there is evidence of intensified spillover effects for return shocks at both lower and upper quantiles, exceeding the return spillover estimated at the middle quantile, i.e. around normal market conditions. Thirdly, the level of spillovers at the lower quantile in the return system is considerably larger than that in the volatility system. However, the level of volatility spillover is extremely high at the upper quantile only, and exhibits low variability. Fourthly, Raytheon Technologies plays an important to the system of return spillovers during normal and bull market conditions, whereas Lockheed Martin plays the same role during the bear market condition. For the system of volatility shocks, General Dynamics is a major net transmitter during the middle volatility state, whereas Raytheon Technologies is a major net transmitter during both low and high volatility states. These results have implications for investors concerned with the management of their stock portfolio under various market conditions and policymakers seeking to design policies under normal and volatile market mechanisms. </w:t>
      </w:r>
    </w:p>
    <w:p>
      <w:pPr>
        <w:pStyle w:val="BodyText"/>
      </w:pPr>
      <w:r>
        <w:rPr>
          <w:bCs/>
          <w:b/>
        </w:rPr>
        <w:t xml:space="preserve">Keywords:</w:t>
      </w:r>
      <w:r>
        <w:t xml:space="preserve"> </w:t>
      </w:r>
      <w:r>
        <w:t xml:space="preserve">defence and aerospace companies; Ukrainian war; Russia; quantile vector-autoregression; COVID-19.</w:t>
      </w:r>
    </w:p>
    <w:bookmarkEnd w:id="20"/>
    <w:bookmarkStart w:id="21" w:name="introduction"/>
    <w:p>
      <w:pPr>
        <w:pStyle w:val="Heading1"/>
      </w:pPr>
      <w:r>
        <w:t xml:space="preserve">1. Introduction</w:t>
      </w:r>
    </w:p>
    <w:p>
      <w:pPr>
        <w:pStyle w:val="FirstParagraph"/>
      </w:pPr>
      <w:r>
        <w:t xml:space="preserve">On 24th February 2022 Russia invaded Ukraine, initiating a war that has led to wide scale devastation, the consequences of which will last far into the future. While the humanitarian effects are almost incomprehensible this event has also substantially impacted financial markets, the global economy, energy prices and the fortunes of defence companies.</w:t>
      </w:r>
    </w:p>
    <w:bookmarkEnd w:id="21"/>
    <w:bookmarkStart w:id="22" w:name="literature"/>
    <w:p>
      <w:pPr>
        <w:pStyle w:val="Heading1"/>
      </w:pPr>
      <w:r>
        <w:t xml:space="preserve">2. </w:t>
      </w:r>
      <w:r>
        <w:rPr>
          <w:bCs/>
          <w:b/>
        </w:rPr>
        <w:t xml:space="preserve">Literature</w:t>
      </w:r>
    </w:p>
    <w:p>
      <w:pPr>
        <w:pStyle w:val="FirstParagraph"/>
      </w:pPr>
      <w:r>
        <w:t xml:space="preserve">McDonald and Kendall (1994) analyse the effects of war on the U.S. defence industry, focussing on 16 firms that provided military equipment to the Department of defence. Applying a cumulative prediction error (CPE) technique they find that defence firm stock prices tend to increase as a result of military actions.</w:t>
      </w:r>
    </w:p>
    <w:p>
      <w:pPr>
        <w:pStyle w:val="BodyText"/>
      </w:pPr>
      <w:r>
        <w:t xml:space="preserve">Federle et al. (2022) analyse stock market responses to the war in Ukraine, finding that those firms located closer to Ukraine suffered from a</w:t>
      </w:r>
      <w:r>
        <w:t xml:space="preserve"> </w:t>
      </w:r>
      <w:r>
        <w:t xml:space="preserve">‘</w:t>
      </w:r>
      <w:r>
        <w:t xml:space="preserve">proximity penalty</w:t>
      </w:r>
      <w:r>
        <w:t xml:space="preserve">’</w:t>
      </w:r>
      <w:r>
        <w:t xml:space="preserve">, experiencing more negative equity returns during the four-weeks surrounding the beginning of the war.</w:t>
      </w:r>
    </w:p>
    <w:bookmarkEnd w:id="22"/>
    <w:bookmarkStart w:id="44" w:name="data-and-methodology"/>
    <w:p>
      <w:pPr>
        <w:pStyle w:val="Heading1"/>
      </w:pPr>
      <w:r>
        <w:t xml:space="preserve">3. </w:t>
      </w:r>
      <w:r>
        <w:rPr>
          <w:bCs/>
          <w:b/>
        </w:rPr>
        <w:t xml:space="preserve">Data and methodology</w:t>
      </w:r>
    </w:p>
    <w:bookmarkStart w:id="40" w:name="data"/>
    <w:p>
      <w:pPr>
        <w:pStyle w:val="Heading2"/>
      </w:pPr>
      <w:r>
        <w:t xml:space="preserve">3.1</w:t>
      </w:r>
      <w:r>
        <w:t xml:space="preserve"> </w:t>
      </w:r>
      <w:r>
        <w:rPr>
          <w:bCs/>
          <w:b/>
        </w:rPr>
        <w:t xml:space="preserve">Data</w:t>
      </w:r>
    </w:p>
    <w:p>
      <w:pPr>
        <w:pStyle w:val="FirstParagraph"/>
      </w:pPr>
      <w:r>
        <w:t xml:space="preserve">Our dataset comprises the daily closing prices of 21 global defence and aerospace companies belonging to six countries (US, UK, France, Germany, China, Singapore) and three continents (North America, Europe, and Asia). The selected companies are chosen to be large and liquid, with an individual market capitalization exceeding nine billion USD. The list of 21 companies is provided in Appendix Table A.1.</w:t>
      </w:r>
    </w:p>
    <w:tbl>
      <w:tblPr>
        <w:tblStyle w:val="Table"/>
        <w:tblW w:type="pct" w:w="5000"/>
        <w:tblLook w:firstRow="0" w:lastRow="0" w:firstColumn="0" w:lastColumn="0" w:noHBand="0" w:noVBand="0" w:val="0000"/>
      </w:tblPr>
      <w:tblGrid>
        <w:gridCol w:w="7920"/>
      </w:tblGrid>
      <w:tr>
        <w:tc>
          <w:tcPr/>
          <w:bookmarkStart w:id="26" w:name="fig-prices"/>
          <w:p>
            <w:pPr>
              <w:pStyle w:val="Figure"/>
              <w:jc w:val="center"/>
            </w:pPr>
            <w:r>
              <w:drawing>
                <wp:inline>
                  <wp:extent cx="4620126" cy="3696101"/>
                  <wp:effectExtent b="0" l="0" r="0" t="0"/>
                  <wp:docPr descr="" title="" id="24" name="Picture"/>
                  <a:graphic>
                    <a:graphicData uri="http://schemas.openxmlformats.org/drawingml/2006/picture">
                      <pic:pic>
                        <pic:nvPicPr>
                          <pic:cNvPr descr="word_files/figure-docx/fig-prices-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Price series levels</w:t>
            </w:r>
          </w:p>
          <w:bookmarkEnd w:id="26"/>
        </w:tc>
      </w:tr>
    </w:tbl>
    <w:p>
      <w:pPr>
        <w:pStyle w:val="BodyText"/>
      </w:pPr>
      <w:hyperlink w:anchor="fig-prices">
        <w:r>
          <w:rPr>
            <w:rStyle w:val="Hyperlink"/>
          </w:rPr>
          <w:t xml:space="preserve">Figure 1</w:t>
        </w:r>
      </w:hyperlink>
      <w:r>
        <w:t xml:space="preserve"> </w:t>
      </w:r>
      <w:r>
        <w:t xml:space="preserve">plots the price series levels and highlighting their country of incorporation. The sample period is 23 August 2010 – July 1, 2022, as dictated by the price availability, especially for the Chinese AECC AVIATION POWER</w:t>
      </w:r>
      <w:r>
        <w:t xml:space="preserve"> </w:t>
      </w:r>
      <w:r>
        <w:t xml:space="preserve">‘</w:t>
      </w:r>
      <w:r>
        <w:t xml:space="preserve">A</w:t>
      </w:r>
      <w:r>
        <w:t xml:space="preserve">’</w:t>
      </w:r>
      <w:r>
        <w:t xml:space="preserve">, which mostly exhibited zero daily fluctuations before 23 August 2010. The price series levels reveal a number of distinct groupings in their movements. Generally, price series levels show common movement with a regime shift towards greater volatility around 2020. Notably, the Chinese stocks experience a shock in 2016 of similar magnitude to that of 2020.</w:t>
      </w:r>
      <w:r>
        <w:t xml:space="preserve"> </w:t>
      </w:r>
    </w:p>
    <w:tbl>
      <w:tblPr>
        <w:tblStyle w:val="Table"/>
        <w:tblW w:type="pct" w:w="5000"/>
        <w:tblLook w:firstRow="0" w:lastRow="0" w:firstColumn="0" w:lastColumn="0" w:noHBand="0" w:noVBand="0" w:val="0000"/>
      </w:tblPr>
      <w:tblGrid>
        <w:gridCol w:w="7920"/>
      </w:tblGrid>
      <w:tr>
        <w:tc>
          <w:tcPr/>
          <w:bookmarkStart w:id="30" w:name="fig-rtns"/>
          <w:p>
            <w:pPr>
              <w:pStyle w:val="Figure"/>
              <w:jc w:val="center"/>
            </w:pPr>
            <w:r>
              <w:drawing>
                <wp:inline>
                  <wp:extent cx="4620126" cy="3696101"/>
                  <wp:effectExtent b="0" l="0" r="0" t="0"/>
                  <wp:docPr descr="" title="" id="28" name="Picture"/>
                  <a:graphic>
                    <a:graphicData uri="http://schemas.openxmlformats.org/drawingml/2006/picture">
                      <pic:pic>
                        <pic:nvPicPr>
                          <pic:cNvPr descr="word_files/figure-docx/fig-rtns-1.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Daily returns</w:t>
            </w:r>
          </w:p>
          <w:bookmarkEnd w:id="3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34" w:name="fig-vols"/>
          <w:p>
            <w:pPr>
              <w:pStyle w:val="Figure"/>
              <w:jc w:val="center"/>
            </w:pPr>
            <w:r>
              <w:drawing>
                <wp:inline>
                  <wp:extent cx="4620126" cy="3696101"/>
                  <wp:effectExtent b="0" l="0" r="0" t="0"/>
                  <wp:docPr descr="" title="" id="32" name="Picture"/>
                  <a:graphic>
                    <a:graphicData uri="http://schemas.openxmlformats.org/drawingml/2006/picture">
                      <pic:pic>
                        <pic:nvPicPr>
                          <pic:cNvPr descr="word_files/figure-docx/fig-vols-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Daily Volatilities</w:t>
            </w:r>
          </w:p>
          <w:bookmarkEnd w:id="34"/>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stock</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mean_rtn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std_rtn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skewness_rtn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kurtosis_rtn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mean_vol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std_vol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skewness_vol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kurtosis_vol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Aecc Aviation Power 'A'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0.0282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-0.0301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3.3593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3.8604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15.5859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Airbus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-0.3942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14.1441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17.1781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418.1901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Avic Shenyang Aircraft 'A'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-0.1034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2.3129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3.2236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10.4923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Avic Xi An Aircraft Industry Group 'A'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0.0274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-0.1179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3.2254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4.0897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18.2365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Bae Systems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0.0387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4.8456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9.3201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126.2856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Boeing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0.0225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-0.5922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24.0379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16.2058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338.8480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Dassault Aviation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0.2823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7.5442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12.7906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281.0989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General Dynamics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6.3089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10.7461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177.2481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Heico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0.2314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8.2309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11.4078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197.2301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Howmet Aerospace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0.0250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10.8674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13.6388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261.1722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L3harris Technologies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-0.3262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10.4528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13.5058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268.5976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Lockheed Martin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-0.8031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15.5283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16.4223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345.7016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Mtu Aero Engines (Xet) Hldg.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-0.2408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11.8812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11.7435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175.3307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Northrop Grumman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-0.1802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8.0195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11.5125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193.6211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Raytheon Technologies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-0.3772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16.1717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14.3880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266.0843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Rolls-Royce Holdings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0.0263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22.9719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21.6540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710.5218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Safran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0.0207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-0.5998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20.5933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19.2881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493.1182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Singapore Techs.engr.</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6.6449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13.5376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275.1905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Textron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0.0215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-0.3084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10.3579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10.1935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138.1299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Thales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0.3412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7.5005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11.5736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186.6177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Transdigm Group</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0.0204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-0.8469</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24.3630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0.0004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0.0021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16.7426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372.7349</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Notes: The sample period is 23 August 2010 – July 1, 2022, yielding 3095 daily return observations.</w:t>
            </w:r>
          </w:p>
        </w:tc>
      </w:tr>
    </w:tbl>
    <w:p>
      <w:pPr>
        <w:pStyle w:val="BodyText"/>
      </w:pPr>
      <w:r>
        <w:t xml:space="preserve">Based on daily prices, we calculate daily log-returns, and then compute daily volatility as the squared of daily returns. The summary statistics of daily returns and volatility series are presented in</w:t>
      </w:r>
      <w:r>
        <w:t xml:space="preserve"> </w:t>
      </w:r>
      <w:r>
        <w:rPr>
          <w:bCs/>
          <w:b/>
        </w:rPr>
        <w:t xml:space="preserve">?@tbl-sumstats</w:t>
      </w:r>
      <w:r>
        <w:t xml:space="preserve">, respectively. The distributions of the daily returns series are mostly skewed to the left and exhibit fat</w:t>
      </w:r>
      <w:r>
        <w:t xml:space="preserve"> </w:t>
      </w:r>
      <w:r>
        <w:t xml:space="preserve">“</w:t>
      </w:r>
      <w:r>
        <w:t xml:space="preserve">tailedness</w:t>
      </w:r>
      <w:r>
        <w:t xml:space="preserve">”</w:t>
      </w:r>
      <w:r>
        <w:t xml:space="preserve">, with Boeing, Airbus Rolls-Royce, Safran and Transdigm experiencing the highest daily volatility.</w:t>
      </w:r>
      <w:r>
        <w:t xml:space="preserve"> </w:t>
      </w:r>
      <w:r>
        <w:rPr>
          <w:bCs/>
          <w:b/>
        </w:rPr>
        <w:t xml:space="preserve">?@tbl-Xtremes</w:t>
      </w:r>
      <w:r>
        <w:t xml:space="preserve"> </w:t>
      </w:r>
      <w:r>
        <w:t xml:space="preserve">identifies the 5 highest daily volatilities scores mostly around the end of march 2020 at the height of the uncertainty of the COVID-19 pandemic.</w:t>
      </w:r>
      <w:r>
        <w:t xml:space="preserve"> </w:t>
      </w:r>
      <w:r>
        <w:rPr>
          <w:bCs/>
          <w:b/>
        </w:rPr>
        <w:t xml:space="preserve">?@fig-vol</w:t>
      </w:r>
      <w:r>
        <w:t xml:space="preserve"> </w:t>
      </w:r>
      <w:r>
        <w:t xml:space="preserve">and</w:t>
      </w:r>
      <w:r>
        <w:t xml:space="preserve"> </w:t>
      </w:r>
      <w:hyperlink w:anchor="fig-rtns">
        <w:r>
          <w:rPr>
            <w:rStyle w:val="Hyperlink"/>
          </w:rPr>
          <w:t xml:space="preserve">Figure 2</w:t>
        </w:r>
      </w:hyperlink>
      <w:r>
        <w:t xml:space="preserve"> </w:t>
      </w:r>
      <w:r>
        <w:t xml:space="preserve">provide a time series view of this thickness. This global economic turmoil has been dubbed the</w:t>
      </w:r>
      <w:r>
        <w:t xml:space="preserve"> </w:t>
      </w:r>
      <w:r>
        <w:t xml:space="preserve">“</w:t>
      </w:r>
      <w:r>
        <w:t xml:space="preserve">Global Dash for Cash</w:t>
      </w:r>
      <w:r>
        <w:t xml:space="preserve">”</w:t>
      </w:r>
      <w:r>
        <w:t xml:space="preserve"> </w:t>
      </w:r>
      <w:r>
        <w:t xml:space="preserve">shock in a recent New York Fed paper</w:t>
      </w:r>
      <w:r>
        <w:t xml:space="preserve"> </w:t>
      </w:r>
      <w:r>
        <w:t xml:space="preserve">(Barone et al. 2022)</w:t>
      </w:r>
      <w:r>
        <w:t xml:space="preserve"> </w:t>
      </w:r>
      <w:r>
        <w:t xml:space="preserve">and suggestive of the stronger spillover effects between between bond markets and institutions evidenced in</w:t>
      </w:r>
      <w:r>
        <w:t xml:space="preserve"> </w:t>
      </w:r>
      <w:r>
        <w:t xml:space="preserve">Dungey, Harvey, and Volkov (2019)</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89"/>
        <w:gridCol w:w="2714"/>
        <w:gridCol w:w="1092"/>
        <w:gridCol w:w="1357"/>
        <w:gridCol w:w="1252"/>
      </w:tblGrid>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stock</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return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volatility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country</w:t>
            </w:r>
          </w:p>
        </w:tc>
      </w:tr>
      <w:tr>
        <w:trPr>
          <w:cantSplit/>
          <w:trHeight w:val="581"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2020-03-18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Airbus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France</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2020-03-16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Boeing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US</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2020-11-09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Rolls-Royce Holdings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UK</w:t>
            </w:r>
          </w:p>
        </w:tc>
      </w:tr>
      <w:tr>
        <w:trPr>
          <w:cantSplit/>
          <w:trHeight w:val="581"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2020-03-18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Safran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France</w:t>
            </w:r>
          </w:p>
        </w:tc>
      </w:tr>
      <w:tr>
        <w:trPr>
          <w:cantSplit/>
          <w:trHeight w:val="624"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2020-03-18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Transdigm Group</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US</w:t>
            </w:r>
          </w:p>
        </w:tc>
      </w:tr>
    </w:tbl>
    <w:p>
      <w:pPr>
        <w:pStyle w:val="BodyText"/>
      </w:pPr>
      <w:r>
        <w:t xml:space="preserve">Furthermore, initial analysis of autocorrelation with each return and volatility using ADF (Augmented Dickey-Fuller) and PP (Phillips-Perron) stationarity tests are presented in the appendix table A.1</w:t>
      </w:r>
      <w:r>
        <w:rPr>
          <w:rStyle w:val="FootnoteReference"/>
        </w:rPr>
        <w:footnoteReference w:id="35"/>
      </w:r>
      <w:r>
        <w:t xml:space="preserve">. shows no evidence of serial correlation.</w:t>
      </w:r>
    </w:p>
    <w:tbl>
      <w:tblPr>
        <w:tblStyle w:val="Table"/>
        <w:tblW w:type="pct" w:w="5000"/>
        <w:tblLook w:firstRow="0" w:lastRow="0" w:firstColumn="0" w:lastColumn="0" w:noHBand="0" w:noVBand="0" w:val="0000"/>
      </w:tblPr>
      <w:tblGrid>
        <w:gridCol w:w="7920"/>
      </w:tblGrid>
      <w:tr>
        <w:tc>
          <w:tcPr/>
          <w:bookmarkStart w:id="39" w:name="fig-cor"/>
          <w:p>
            <w:pPr>
              <w:jc w:val="center"/>
            </w:pPr>
            <w:r>
              <w:drawing>
                <wp:inline>
                  <wp:extent cx="4620126" cy="3696101"/>
                  <wp:effectExtent b="0" l="0" r="0" t="0"/>
                  <wp:docPr descr="" title="" id="37" name="Picture"/>
                  <a:graphic>
                    <a:graphicData uri="http://schemas.openxmlformats.org/drawingml/2006/picture">
                      <pic:pic>
                        <pic:nvPicPr>
                          <pic:cNvPr descr="word_files/figure-docx/fig-cor-1.png" id="38"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rPr>
                <w:bCs/>
                <w:b/>
              </w:rPr>
              <w:t xml:space="preserve">?(caption)</w:t>
            </w:r>
          </w:p>
          <w:bookmarkEnd w:id="39"/>
        </w:tc>
      </w:tr>
    </w:tbl>
    <w:p>
      <w:pPr>
        <w:pStyle w:val="BodyText"/>
      </w:pPr>
      <w:r>
        <w:t xml:space="preserve">Finally,</w:t>
      </w:r>
      <w:r>
        <w:t xml:space="preserve"> </w:t>
      </w:r>
      <w:hyperlink w:anchor="fig-cor">
        <w:r>
          <w:rPr>
            <w:rStyle w:val="Hyperlink"/>
          </w:rPr>
          <w:t xml:space="preserve">Figure 4</w:t>
        </w:r>
      </w:hyperlink>
      <w:r>
        <w:t xml:space="preserve"> </w:t>
      </w:r>
      <w:r>
        <w:t xml:space="preserve">displays the pearsons pairwise linear correlation coefficients for the daily returns series. Unsurprisingly many of the stock returns series are highly correlated with between Northrop Grumman and Lockheed Martin. Both firms are leading suppliers to the US defence department, and regularly win joint contracts of work.</w:t>
      </w:r>
      <w:r>
        <w:t xml:space="preserve"> </w:t>
      </w:r>
      <w:hyperlink w:anchor="fig-cor">
        <w:r>
          <w:rPr>
            <w:rStyle w:val="Hyperlink"/>
          </w:rPr>
          <w:t xml:space="preserve">Figure 4</w:t>
        </w:r>
      </w:hyperlink>
      <w:r>
        <w:t xml:space="preserve"> </w:t>
      </w:r>
      <w:r>
        <w:t xml:space="preserve">also reveals that the Chinese stocks are highly correlated with each other but uncorrelated with the firms incorporated in the US and Europe.</w:t>
      </w:r>
    </w:p>
    <w:bookmarkEnd w:id="40"/>
    <w:bookmarkStart w:id="43" w:name="methodology"/>
    <w:p>
      <w:pPr>
        <w:pStyle w:val="Heading2"/>
      </w:pPr>
      <w:r>
        <w:t xml:space="preserve">3.2</w:t>
      </w:r>
      <w:r>
        <w:t xml:space="preserve"> </w:t>
      </w:r>
      <w:r>
        <w:rPr>
          <w:bCs/>
          <w:b/>
        </w:rPr>
        <w:t xml:space="preserve">Methodology</w:t>
      </w:r>
    </w:p>
    <w:p>
      <w:pPr>
        <w:pStyle w:val="FirstParagraph"/>
      </w:pPr>
      <w:r>
        <w:t xml:space="preserve">To study the return and volatility connectedness across 21 global defence and aerospace firms, we use the quantile-VAR-based connectedness approach introduced by [</w:t>
      </w:r>
      <w:r>
        <w:t xml:space="preserve">Ando, Greenwood-Nimmo, and Shin (2022)</w:t>
      </w:r>
      <w:r>
        <w:t xml:space="preserve">]</w:t>
      </w:r>
      <w:r>
        <w:rPr>
          <w:rStyle w:val="FootnoteReference"/>
        </w:rPr>
        <w:footnoteReference w:id="41"/>
      </w:r>
      <w:r>
        <w:t xml:space="preserve">. This approach extends the mean-based connectedness framework</w:t>
      </w:r>
      <w:r>
        <w:t xml:space="preserve"> </w:t>
      </w:r>
      <w:r>
        <w:t xml:space="preserve">(Diebold and Yilmaz 2009; Diebold and Yılmaz 2014)</w:t>
      </w:r>
      <w:r>
        <w:t xml:space="preserve"> </w:t>
      </w:r>
      <w:r>
        <w:t xml:space="preserve">and thus allows for capturing extreme connectedness measures estimated at the lower, middle, and upper quantiles. For returns, this allows for capturing the connectedness of return shocks in bear, normal, and bull periods. For volatility, we capture connectedness of volatility shocks in low, middle, and high volatility states.</w:t>
      </w:r>
    </w:p>
    <w:p>
      <w:pPr>
        <w:pStyle w:val="BodyText"/>
      </w:pPr>
      <w:r>
        <w:t xml:space="preserve">We consider a portfolio enivroment, where stocks are indexed i=1,2,…,N, and time periods are indexed t=1,2,…,T. Based on a quantile regression (Koenker, 2005), we consider a quantile-VAR process of p</w:t>
      </w:r>
      <w:r>
        <w:rPr>
          <w:vertAlign w:val="superscript"/>
        </w:rPr>
        <w:t xml:space="preserve">th</w:t>
      </w:r>
      <w:r>
        <w:t xml:space="preserve"> </w:t>
      </w:r>
      <w:r>
        <w:t xml:space="preserve">order for a set of N return (volatility) series for time T,</w:t>
      </w:r>
      <w:r>
        <w:t xml:space="preserve"> </w:t>
      </w:r>
      <m:oMath>
        <m:sSub>
          <m:e>
            <m:r>
              <m:t>y</m:t>
            </m:r>
          </m:e>
          <m:sub>
            <m:r>
              <m:t>i</m:t>
            </m:r>
            <m:r>
              <m:t>t</m:t>
            </m:r>
          </m:sub>
        </m:sSub>
        <m:r>
          <m:rPr>
            <m:sty m:val="p"/>
          </m:rPr>
          <m:t>=</m:t>
        </m:r>
        <m:r>
          <m:rPr>
            <m:sty m:val="p"/>
          </m:rPr>
          <m:t>{</m:t>
        </m:r>
        <m:sSub>
          <m:e>
            <m:r>
              <m:t>y</m:t>
            </m:r>
          </m:e>
          <m:sub>
            <m:r>
              <m:t>t</m:t>
            </m:r>
            <m:r>
              <m:rPr>
                <m:sty m:val="p"/>
              </m:rPr>
              <m:t>=</m:t>
            </m:r>
            <m:r>
              <m:t>1</m:t>
            </m:r>
            <m:r>
              <m:rPr>
                <m:sty m:val="p"/>
              </m:rPr>
              <m:t>,</m:t>
            </m:r>
            <m:r>
              <m:t>i</m:t>
            </m:r>
            <m:r>
              <m:rPr>
                <m:sty m:val="p"/>
              </m:rPr>
              <m:t>=</m:t>
            </m:r>
            <m:r>
              <m:t>1</m:t>
            </m:r>
          </m:sub>
        </m:sSub>
        <m:r>
          <m:rPr>
            <m:sty m:val="p"/>
          </m:rPr>
          <m:t>,</m:t>
        </m:r>
        <m:r>
          <m:rPr>
            <m:sty m:val="p"/>
          </m:rPr>
          <m:t>…</m:t>
        </m:r>
        <m:r>
          <m:rPr>
            <m:sty m:val="p"/>
          </m:rPr>
          <m:t>,</m:t>
        </m:r>
        <m:sSub>
          <m:e>
            <m:r>
              <m:t>y</m:t>
            </m:r>
          </m:e>
          <m:sub>
            <m:r>
              <m:t>t</m:t>
            </m:r>
            <m:r>
              <m:rPr>
                <m:sty m:val="p"/>
              </m:rPr>
              <m:t>=</m:t>
            </m:r>
            <m:r>
              <m:t>T</m:t>
            </m:r>
            <m:r>
              <m:rPr>
                <m:sty m:val="p"/>
              </m:rPr>
              <m:t>,</m:t>
            </m:r>
            <m:r>
              <m:t>i</m:t>
            </m:r>
            <m:r>
              <m:rPr>
                <m:sty m:val="p"/>
              </m:rPr>
              <m:t>=</m:t>
            </m:r>
            <m:r>
              <m:t>N</m:t>
            </m:r>
          </m:sub>
        </m:sSub>
        <m:r>
          <m:rPr>
            <m:sty m:val="p"/>
          </m:rPr>
          <m:t>}</m:t>
        </m:r>
      </m:oMath>
      <w:r>
        <w:t xml:space="preserve"> </w:t>
      </w:r>
      <w:r>
        <w:t xml:space="preserve">, as given by:</w:t>
      </w:r>
    </w:p>
    <w:p>
      <w:pPr>
        <w:pStyle w:val="BodyText"/>
      </w:pPr>
      <m:oMathPara>
        <m:oMathParaPr>
          <m:jc m:val="center"/>
        </m:oMathParaPr>
        <m:oMath>
          <m:sSub>
            <m:e>
              <m:r>
                <m:t>y</m:t>
              </m:r>
            </m:e>
            <m:sub>
              <m:r>
                <m:t>t</m:t>
              </m:r>
            </m:sub>
          </m:sSub>
          <m:r>
            <m:rPr>
              <m:sty m:val="p"/>
            </m:rPr>
            <m:t>=</m:t>
          </m:r>
          <m:sSub>
            <m:e>
              <m:r>
                <m:t>c</m:t>
              </m:r>
            </m:e>
            <m:sub>
              <m:r>
                <m:t>i</m:t>
              </m:r>
              <m:d>
                <m:dPr>
                  <m:begChr m:val="("/>
                  <m:endChr m:val=")"/>
                  <m:sepChr m:val=""/>
                  <m:grow/>
                </m:dPr>
                <m:e>
                  <m:r>
                    <m:t>τ</m:t>
                  </m:r>
                </m:e>
              </m:d>
            </m:sub>
          </m:sSub>
          <m:r>
            <m:rPr>
              <m:sty m:val="p"/>
            </m:rPr>
            <m:t>+</m:t>
          </m:r>
          <m:nary>
            <m:naryPr>
              <m:chr m:val="∑"/>
              <m:limLoc m:val="undOvr"/>
              <m:subHide m:val="0"/>
              <m:supHide m:val="0"/>
            </m:naryPr>
            <m:sub>
              <m:r>
                <m:t>j</m:t>
              </m:r>
              <m:r>
                <m:rPr>
                  <m:sty m:val="p"/>
                </m:rPr>
                <m:t>=</m:t>
              </m:r>
              <m:r>
                <m:t>1</m:t>
              </m:r>
            </m:sub>
            <m:sup>
              <m:r>
                <m:t>p</m:t>
              </m:r>
            </m:sup>
            <m:e>
              <m:sSub>
                <m:e>
                  <m:r>
                    <m:t>B</m:t>
                  </m:r>
                </m:e>
                <m:sub>
                  <m:r>
                    <m:t>j</m:t>
                  </m:r>
                  <m:r>
                    <m:rPr>
                      <m:sty m:val="p"/>
                    </m:rPr>
                    <m:t>,</m:t>
                  </m:r>
                  <m:d>
                    <m:dPr>
                      <m:begChr m:val="("/>
                      <m:endChr m:val=")"/>
                      <m:sepChr m:val=""/>
                      <m:grow/>
                    </m:dPr>
                    <m:e>
                      <m:r>
                        <m:t>τ</m:t>
                      </m:r>
                    </m:e>
                  </m:d>
                </m:sub>
              </m:sSub>
            </m:e>
          </m:nary>
          <m:sSub>
            <m:e>
              <m:r>
                <m:t>y</m:t>
              </m:r>
            </m:e>
            <m:sub>
              <m:r>
                <m:t>t</m:t>
              </m:r>
              <m:r>
                <m:rPr>
                  <m:sty m:val="p"/>
                </m:rPr>
                <m:t>−</m:t>
              </m:r>
              <m:r>
                <m:t>j</m:t>
              </m:r>
            </m:sub>
          </m:sSub>
          <m:r>
            <m:rPr>
              <m:sty m:val="p"/>
            </m:rPr>
            <m:t>+</m:t>
          </m:r>
          <m:sSub>
            <m:e>
              <m:r>
                <m:t>e</m:t>
              </m:r>
            </m:e>
            <m:sub>
              <m:r>
                <m:t>t</m:t>
              </m:r>
              <m:d>
                <m:dPr>
                  <m:begChr m:val="("/>
                  <m:endChr m:val=")"/>
                  <m:sepChr m:val=""/>
                  <m:grow/>
                </m:dPr>
                <m:e>
                  <m:r>
                    <m:t>τ</m:t>
                  </m:r>
                </m:e>
              </m:d>
            </m:sub>
          </m:sSub>
          <m:r>
            <m:rPr>
              <m:sty m:val="p"/>
            </m:rPr>
            <m:t>,</m:t>
          </m:r>
          <m:r>
            <m:t>t</m:t>
          </m:r>
          <m:r>
            <m:rPr>
              <m:sty m:val="p"/>
            </m:rPr>
            <m:t>=</m:t>
          </m:r>
          <m:r>
            <m:t>1</m:t>
          </m:r>
          <m:r>
            <m:rPr>
              <m:sty m:val="p"/>
            </m:rPr>
            <m:t>,</m:t>
          </m:r>
          <m:r>
            <m:rPr>
              <m:sty m:val="p"/>
            </m:rPr>
            <m:t>…</m:t>
          </m:r>
          <m:r>
            <m:rPr>
              <m:sty m:val="p"/>
            </m:rPr>
            <m:t>,</m:t>
          </m:r>
          <m:r>
            <m:t>T</m:t>
          </m:r>
        </m:oMath>
      </m:oMathPara>
    </w:p>
    <w:p>
      <w:pPr>
        <w:pStyle w:val="FirstParagraph"/>
      </w:pPr>
      <w:r>
        <w:t xml:space="preserve">where,</w:t>
      </w:r>
      <w:r>
        <w:t xml:space="preserve"> </w:t>
      </w:r>
      <m:oMath>
        <m:sSub>
          <m:e>
            <m:r>
              <m:t>c</m:t>
            </m:r>
          </m:e>
          <m:sub>
            <m:d>
              <m:dPr>
                <m:begChr m:val="("/>
                <m:endChr m:val=")"/>
                <m:sepChr m:val=""/>
                <m:grow/>
              </m:dPr>
              <m:e>
                <m:r>
                  <m:t>τ</m:t>
                </m:r>
              </m:e>
            </m:d>
          </m:sub>
        </m:sSub>
      </m:oMath>
      <w:r>
        <w:t xml:space="preserve"> </w:t>
      </w:r>
      <w:r>
        <w:t xml:space="preserve">denotes a vector of constant terms at quantile τ,</w:t>
      </w:r>
      <w:r>
        <w:t xml:space="preserve"> </w:t>
      </w:r>
      <m:oMath>
        <m:sSub>
          <m:e>
            <m:r>
              <m:t>B</m:t>
            </m:r>
          </m:e>
          <m:sub>
            <m:r>
              <m:t>j</m:t>
            </m:r>
            <m:d>
              <m:dPr>
                <m:begChr m:val="("/>
                <m:endChr m:val=")"/>
                <m:sepChr m:val=""/>
                <m:grow/>
              </m:dPr>
              <m:e>
                <m:r>
                  <m:t>τ</m:t>
                </m:r>
              </m:e>
            </m:d>
          </m:sub>
        </m:sSub>
      </m:oMath>
      <w:r>
        <w:t xml:space="preserve"> </w:t>
      </w:r>
      <w:r>
        <w:t xml:space="preserve">represents the matrix of the j</w:t>
      </w:r>
      <w:r>
        <w:rPr>
          <w:vertAlign w:val="superscript"/>
        </w:rPr>
        <w:t xml:space="preserve">th</w:t>
      </w:r>
      <w:r>
        <w:t xml:space="preserve"> </w:t>
      </w:r>
      <w:r>
        <w:t xml:space="preserve">lagged coefficients of the dependent variable at quantile τ, with i =1,…, p, and</w:t>
      </w:r>
      <w:r>
        <w:t xml:space="preserve"> </w:t>
      </w:r>
      <m:oMath>
        <m:sSub>
          <m:e>
            <m:r>
              <m:t>e</m:t>
            </m:r>
          </m:e>
          <m:sub>
            <m:r>
              <m:t>t</m:t>
            </m:r>
            <m:d>
              <m:dPr>
                <m:begChr m:val="("/>
                <m:endChr m:val=")"/>
                <m:sepChr m:val=""/>
                <m:grow/>
              </m:dPr>
              <m:e>
                <m:r>
                  <m:t>τ</m:t>
                </m:r>
              </m:e>
            </m:d>
          </m:sub>
        </m:sSub>
      </m:oMath>
      <w:r>
        <w:t xml:space="preserve"> </w:t>
      </w:r>
      <w:r>
        <w:t xml:space="preserve">denotes a vector of error terms at quantile τ. Equation (1) is estimated by assuming that the error terms conform to the population quantile restriction,</w:t>
      </w:r>
      <w:r>
        <w:t xml:space="preserve"> </w:t>
      </w:r>
      <m:oMath>
        <m:sSub>
          <m:e>
            <m:r>
              <m:t>Q</m:t>
            </m:r>
          </m:e>
          <m:sub>
            <m:r>
              <m:t>t</m:t>
            </m:r>
          </m:sub>
        </m:sSub>
        <m:d>
          <m:dPr>
            <m:begChr m:val="("/>
            <m:endChr m:val=")"/>
            <m:sepChr m:val=""/>
            <m:grow/>
          </m:dPr>
          <m:e>
            <m:sSub>
              <m:e>
                <m:r>
                  <m:t>e</m:t>
                </m:r>
              </m:e>
              <m:sub>
                <m:r>
                  <m:t>t</m:t>
                </m:r>
                <m:d>
                  <m:dPr>
                    <m:begChr m:val="("/>
                    <m:endChr m:val=")"/>
                    <m:sepChr m:val=""/>
                    <m:grow/>
                  </m:dPr>
                  <m:e>
                    <m:r>
                      <m:t>τ</m:t>
                    </m:r>
                  </m:e>
                </m:d>
              </m:sub>
            </m:sSub>
            <m:r>
              <m:rPr>
                <m:sty m:val="p"/>
              </m:rPr>
              <m:t>|</m:t>
            </m:r>
            <m:sSub>
              <m:e>
                <m:r>
                  <m:t>y</m:t>
                </m:r>
              </m:e>
              <m:sub>
                <m:r>
                  <m:t>t</m:t>
                </m:r>
                <m:r>
                  <m:rPr>
                    <m:sty m:val="p"/>
                  </m:rPr>
                  <m:t>=</m:t>
                </m:r>
                <m:r>
                  <m:t>1</m:t>
                </m:r>
              </m:sub>
            </m:sSub>
            <m:r>
              <m:rPr>
                <m:sty m:val="p"/>
              </m:rPr>
              <m:t>,</m:t>
            </m:r>
            <m:r>
              <m:rPr>
                <m:sty m:val="p"/>
              </m:rPr>
              <m:t>…</m:t>
            </m:r>
            <m:r>
              <m:rPr>
                <m:sty m:val="p"/>
              </m:rPr>
              <m:t>,</m:t>
            </m:r>
            <m:sSub>
              <m:e>
                <m:r>
                  <m:t>y</m:t>
                </m:r>
              </m:e>
              <m:sub>
                <m:r>
                  <m:t>t</m:t>
                </m:r>
                <m:r>
                  <m:rPr>
                    <m:sty m:val="p"/>
                  </m:rPr>
                  <m:t>=</m:t>
                </m:r>
                <m:r>
                  <m:t>p</m:t>
                </m:r>
              </m:sub>
            </m:sSub>
          </m:e>
        </m:d>
        <m:r>
          <m:rPr>
            <m:sty m:val="p"/>
          </m:rPr>
          <m:t>=</m:t>
        </m:r>
        <m:r>
          <m:t>0</m:t>
        </m:r>
      </m:oMath>
      <w:r>
        <w:t xml:space="preserve"> </w:t>
      </w:r>
      <w:r>
        <w:t xml:space="preserve">.</w:t>
      </w:r>
    </w:p>
    <w:p>
      <w:pPr>
        <w:pStyle w:val="BodyText"/>
      </w:pPr>
      <w:r>
        <w:t xml:space="preserve">We express the τth conditional quantile of response y as:</w:t>
      </w:r>
    </w:p>
    <w:p>
      <w:pPr>
        <w:pStyle w:val="BodyText"/>
      </w:pPr>
      <m:oMathPara>
        <m:oMathParaPr>
          <m:jc m:val="center"/>
        </m:oMathParaPr>
        <m:oMath>
          <m:sSub>
            <m:e>
              <m:r>
                <m:t>Q</m:t>
              </m:r>
            </m:e>
            <m:sub>
              <m:r>
                <m:t>t</m:t>
              </m:r>
            </m:sub>
          </m:sSub>
          <m:d>
            <m:dPr>
              <m:begChr m:val="("/>
              <m:endChr m:val=")"/>
              <m:sepChr m:val=""/>
              <m:grow/>
            </m:dPr>
            <m:e>
              <m:sSub>
                <m:e>
                  <m:r>
                    <m:t>y</m:t>
                  </m:r>
                </m:e>
                <m:sub>
                  <m:r>
                    <m:t>t</m:t>
                  </m:r>
                </m:sub>
              </m:sSub>
              <m:r>
                <m:rPr>
                  <m:sty m:val="p"/>
                </m:rPr>
                <m:t>|</m:t>
              </m:r>
              <m:sSub>
                <m:e>
                  <m:r>
                    <m:t>y</m:t>
                  </m:r>
                </m:e>
                <m:sub>
                  <m:r>
                    <m:t>t</m:t>
                  </m:r>
                  <m:r>
                    <m:rPr>
                      <m:sty m:val="p"/>
                    </m:rPr>
                    <m:t>=</m:t>
                  </m:r>
                  <m:r>
                    <m:t>1</m:t>
                  </m:r>
                </m:sub>
              </m:sSub>
              <m:r>
                <m:rPr>
                  <m:sty m:val="p"/>
                </m:rPr>
                <m:t>,</m:t>
              </m:r>
              <m:r>
                <m:rPr>
                  <m:sty m:val="p"/>
                </m:rPr>
                <m:t>…</m:t>
              </m:r>
              <m:r>
                <m:rPr>
                  <m:sty m:val="p"/>
                </m:rPr>
                <m:t>,</m:t>
              </m:r>
              <m:sSub>
                <m:e>
                  <m:r>
                    <m:t>y</m:t>
                  </m:r>
                </m:e>
                <m:sub>
                  <m:r>
                    <m:t>t</m:t>
                  </m:r>
                  <m:r>
                    <m:rPr>
                      <m:sty m:val="p"/>
                    </m:rPr>
                    <m:t>=</m:t>
                  </m:r>
                  <m:r>
                    <m:t>p</m:t>
                  </m:r>
                </m:sub>
              </m:sSub>
            </m:e>
          </m:d>
          <m:r>
            <m:rPr>
              <m:sty m:val="p"/>
            </m:rPr>
            <m:t>=</m:t>
          </m:r>
          <m:sSub>
            <m:e>
              <m:r>
                <m:t>c</m:t>
              </m:r>
            </m:e>
            <m:sub>
              <m:d>
                <m:dPr>
                  <m:begChr m:val="("/>
                  <m:endChr m:val=")"/>
                  <m:sepChr m:val=""/>
                  <m:grow/>
                </m:dPr>
                <m:e>
                  <m:r>
                    <m:t>τ</m:t>
                  </m:r>
                </m:e>
              </m:d>
            </m:sub>
          </m:sSub>
          <m:r>
            <m:rPr>
              <m:sty m:val="p"/>
            </m:rPr>
            <m:t>+</m:t>
          </m:r>
          <m:acc>
            <m:accPr>
              <m:chr m:val="̂"/>
            </m:accPr>
            <m:e>
              <m:sSub>
                <m:e>
                  <m:r>
                    <m:t>B</m:t>
                  </m:r>
                </m:e>
                <m:sub>
                  <m:r>
                    <m:t>i</m:t>
                  </m:r>
                  <m:d>
                    <m:dPr>
                      <m:begChr m:val="("/>
                      <m:endChr m:val=")"/>
                      <m:sepChr m:val=""/>
                      <m:grow/>
                    </m:dPr>
                    <m:e>
                      <m:r>
                        <m:t>τ</m:t>
                      </m:r>
                    </m:e>
                  </m:d>
                </m:sub>
              </m:sSub>
            </m:e>
          </m:acc>
          <m:sSub>
            <m:e>
              <m:r>
                <m:t>y</m:t>
              </m:r>
            </m:e>
            <m:sub>
              <m:r>
                <m:t>t</m:t>
              </m:r>
              <m:r>
                <m:rPr>
                  <m:sty m:val="p"/>
                </m:rPr>
                <m:t>−</m:t>
              </m:r>
              <m:r>
                <m:t>i</m:t>
              </m:r>
            </m:sub>
          </m:sSub>
        </m:oMath>
      </m:oMathPara>
    </w:p>
    <w:p>
      <w:pPr>
        <w:pStyle w:val="FirstParagraph"/>
      </w:pPr>
      <w:r>
        <w:t xml:space="preserve">Following the approach of</w:t>
      </w:r>
      <w:r>
        <w:t xml:space="preserve"> </w:t>
      </w:r>
      <w:r>
        <w:t xml:space="preserve">Diebold and Yılmaz (2014)</w:t>
      </w:r>
      <w:r>
        <w:t xml:space="preserve"> </w:t>
      </w:r>
      <w:r>
        <w:t xml:space="preserve">, we compute return and volatility connectedness measures based on a quantile variance decomposition.</w:t>
      </w:r>
    </w:p>
    <w:p>
      <w:pPr>
        <w:pStyle w:val="BodyText"/>
      </w:pPr>
      <w:r>
        <w:t xml:space="preserve">We represent Equation</w:t>
      </w:r>
      <w:r>
        <w:t xml:space="preserve"> </w:t>
      </w:r>
      <w:hyperlink r:id="rId42">
        <w:r>
          <w:rPr>
            <w:rStyle w:val="Hyperlink"/>
          </w:rPr>
          <w:t xml:space="preserve">(3)</w:t>
        </w:r>
      </w:hyperlink>
      <w:r>
        <w:t xml:space="preserve"> </w:t>
      </w:r>
      <w:r>
        <w:t xml:space="preserve">as an infinite order vector moving average process:</w:t>
      </w:r>
    </w:p>
    <w:p>
      <w:pPr>
        <w:pStyle w:val="BodyText"/>
      </w:pPr>
      <m:oMathPara>
        <m:oMathParaPr>
          <m:jc m:val="center"/>
        </m:oMathParaPr>
        <m:oMath>
          <m:sSub>
            <m:e>
              <m:r>
                <m:t>y</m:t>
              </m:r>
            </m:e>
            <m:sub>
              <m:r>
                <m:t>t</m:t>
              </m:r>
            </m:sub>
          </m:sSub>
          <m:r>
            <m:rPr>
              <m:sty m:val="p"/>
            </m:rPr>
            <m:t>=</m:t>
          </m:r>
          <m:sSub>
            <m:e>
              <m:r>
                <m:t>μ</m:t>
              </m:r>
            </m:e>
            <m:sub>
              <m:d>
                <m:dPr>
                  <m:begChr m:val="("/>
                  <m:endChr m:val=")"/>
                  <m:sepChr m:val=""/>
                  <m:grow/>
                </m:dPr>
                <m:e>
                  <m:r>
                    <m:t>τ</m:t>
                  </m:r>
                </m:e>
              </m:d>
            </m:sub>
          </m:sSub>
          <m:r>
            <m:rPr>
              <m:sty m:val="p"/>
            </m:rPr>
            <m:t>+</m:t>
          </m:r>
          <m:nary>
            <m:naryPr>
              <m:chr m:val="∑"/>
              <m:limLoc m:val="undOvr"/>
              <m:subHide m:val="0"/>
              <m:supHide m:val="0"/>
            </m:naryPr>
            <m:sub>
              <m:r>
                <m:t>s</m:t>
              </m:r>
              <m:r>
                <m:rPr>
                  <m:sty m:val="p"/>
                </m:rPr>
                <m:t>=</m:t>
              </m:r>
              <m:r>
                <m:t>0</m:t>
              </m:r>
            </m:sub>
            <m:sup>
              <m:r>
                <m:rPr>
                  <m:sty m:val="p"/>
                </m:rPr>
                <m:t>∞</m:t>
              </m:r>
            </m:sup>
            <m:e>
              <m:sSub>
                <m:e>
                  <m:r>
                    <m:t>A</m:t>
                  </m:r>
                </m:e>
                <m:sub>
                  <m:r>
                    <m:t>s</m:t>
                  </m:r>
                  <m:d>
                    <m:dPr>
                      <m:begChr m:val="("/>
                      <m:endChr m:val=")"/>
                      <m:sepChr m:val=""/>
                      <m:grow/>
                    </m:dPr>
                    <m:e>
                      <m:r>
                        <m:t>τ</m:t>
                      </m:r>
                    </m:e>
                  </m:d>
                </m:sub>
              </m:sSub>
            </m:e>
          </m:nary>
          <m:sSub>
            <m:e>
              <m:r>
                <m:t>e</m:t>
              </m:r>
            </m:e>
            <m:sub>
              <m:r>
                <m:t>t</m:t>
              </m:r>
              <m:r>
                <m:rPr>
                  <m:sty m:val="p"/>
                </m:rPr>
                <m:t>−</m:t>
              </m:r>
              <m:r>
                <m:t>s</m:t>
              </m:r>
              <m:d>
                <m:dPr>
                  <m:begChr m:val="("/>
                  <m:endChr m:val=")"/>
                  <m:sepChr m:val=""/>
                  <m:grow/>
                </m:dPr>
                <m:e>
                  <m:r>
                    <m:t>τ</m:t>
                  </m:r>
                </m:e>
              </m:d>
            </m:sub>
          </m:sSub>
          <m:r>
            <m:rPr>
              <m:sty m:val="p"/>
            </m:rPr>
            <m:t>,</m:t>
          </m:r>
          <m:r>
            <m:t>t</m:t>
          </m:r>
          <m:r>
            <m:rPr>
              <m:sty m:val="p"/>
            </m:rPr>
            <m:t>=</m:t>
          </m:r>
          <m:r>
            <m:t>1</m:t>
          </m:r>
          <m:r>
            <m:rPr>
              <m:sty m:val="p"/>
            </m:rPr>
            <m:t>,</m:t>
          </m:r>
          <m:r>
            <m:rPr>
              <m:sty m:val="p"/>
            </m:rPr>
            <m:t>…</m:t>
          </m:r>
          <m:r>
            <m:rPr>
              <m:sty m:val="p"/>
            </m:rPr>
            <m:t>.</m:t>
          </m:r>
          <m:r>
            <m:t>T</m:t>
          </m:r>
        </m:oMath>
      </m:oMathPara>
    </w:p>
    <w:p>
      <w:pPr>
        <w:pStyle w:val="FirstParagraph"/>
      </w:pPr>
      <w:r>
        <w:t xml:space="preserve">where,</w:t>
      </w:r>
    </w:p>
    <w:p>
      <w:pPr>
        <w:pStyle w:val="BodyText"/>
      </w:pPr>
      <m:oMathPara>
        <m:oMathParaPr>
          <m:jc m:val="center"/>
        </m:oMathParaPr>
        <m:oMath>
          <m:m>
            <m:mPr>
              <m:baseJc m:val="center"/>
              <m:plcHide m:val="1"/>
              <m:mcs>
                <m:mc>
                  <m:mcPr>
                    <m:mcJc m:val="right"/>
                    <m:count m:val="1"/>
                  </m:mcPr>
                </m:mc>
              </m:mcs>
            </m:mPr>
            <m:mr>
              <m:e>
                <m:r>
                  <m:t>μ</m:t>
                </m:r>
                <m:d>
                  <m:dPr>
                    <m:begChr m:val="("/>
                    <m:endChr m:val=")"/>
                    <m:sepChr m:val=""/>
                    <m:grow/>
                  </m:dPr>
                  <m:e>
                    <m:r>
                      <m:t>τ</m:t>
                    </m:r>
                  </m:e>
                </m:d>
                <m:r>
                  <m:rPr>
                    <m:sty m:val="p"/>
                  </m:rPr>
                  <m:t>=</m:t>
                </m:r>
                <m:f>
                  <m:fPr>
                    <m:type m:val="bar"/>
                  </m:fPr>
                  <m:num>
                    <m:sSub>
                      <m:e>
                        <m:r>
                          <m:t>c</m:t>
                        </m:r>
                      </m:e>
                      <m:sub>
                        <m:r>
                          <m:t>τ</m:t>
                        </m:r>
                      </m:sub>
                    </m:sSub>
                  </m:num>
                  <m:den>
                    <m:d>
                      <m:dPr>
                        <m:begChr m:val="("/>
                        <m:endChr m:val=")"/>
                        <m:sepChr m:val=""/>
                        <m:grow/>
                      </m:dPr>
                      <m:e>
                        <m:sSub>
                          <m:e>
                            <m:r>
                              <m:t>I</m:t>
                            </m:r>
                          </m:e>
                          <m:sub>
                            <m:r>
                              <m:t>n</m:t>
                            </m:r>
                          </m:sub>
                        </m:sSub>
                        <m:r>
                          <m:rPr>
                            <m:sty m:val="p"/>
                          </m:rPr>
                          <m:t>−</m:t>
                        </m:r>
                        <m:sSub>
                          <m:e>
                            <m:r>
                              <m:t>B</m:t>
                            </m:r>
                          </m:e>
                          <m:sub>
                            <m:r>
                              <m:t>1</m:t>
                            </m:r>
                            <m:d>
                              <m:dPr>
                                <m:begChr m:val="("/>
                                <m:endChr m:val=")"/>
                                <m:sepChr m:val=""/>
                                <m:grow/>
                              </m:dPr>
                              <m:e>
                                <m:r>
                                  <m:t>τ</m:t>
                                </m:r>
                              </m:e>
                            </m:d>
                          </m:sub>
                        </m:sSub>
                        <m:r>
                          <m:rPr>
                            <m:sty m:val="p"/>
                          </m:rPr>
                          <m:t>−</m:t>
                        </m:r>
                        <m:r>
                          <m:rPr>
                            <m:sty m:val="p"/>
                          </m:rPr>
                          <m:t>…</m:t>
                        </m:r>
                        <m:r>
                          <m:rPr>
                            <m:sty m:val="p"/>
                          </m:rPr>
                          <m:t>−</m:t>
                        </m:r>
                        <m:sSub>
                          <m:e>
                            <m:r>
                              <m:t>B</m:t>
                            </m:r>
                          </m:e>
                          <m:sub>
                            <m:r>
                              <m:t>p</m:t>
                            </m:r>
                            <m:d>
                              <m:dPr>
                                <m:begChr m:val="("/>
                                <m:endChr m:val=")"/>
                                <m:sepChr m:val=""/>
                                <m:grow/>
                              </m:dPr>
                              <m:e>
                                <m:r>
                                  <m:t>τ</m:t>
                                </m:r>
                              </m:e>
                            </m:d>
                          </m:sub>
                        </m:sSub>
                      </m:e>
                    </m:d>
                  </m:den>
                </m:f>
              </m:e>
            </m:mr>
            <m:mr>
              <m:e>
                <m:sSub>
                  <m:e>
                    <m:r>
                      <m:t>A</m:t>
                    </m:r>
                  </m:e>
                  <m:sub>
                    <m:r>
                      <m:t>s</m:t>
                    </m:r>
                    <m:d>
                      <m:dPr>
                        <m:begChr m:val="("/>
                        <m:endChr m:val=")"/>
                        <m:sepChr m:val=""/>
                        <m:grow/>
                      </m:dPr>
                      <m:e>
                        <m:r>
                          <m:t>τ</m:t>
                        </m:r>
                      </m:e>
                    </m:d>
                  </m:sub>
                </m:sSub>
                <m:r>
                  <m:rPr>
                    <m:sty m:val="p"/>
                  </m:rPr>
                  <m:t>=</m:t>
                </m:r>
                <m:d>
                  <m:dPr>
                    <m:begChr m:val="{"/>
                    <m:endChr m:val=""/>
                    <m:sepChr m:val=""/>
                    <m:grow/>
                  </m:dPr>
                  <m:e>
                    <m:m>
                      <m:mPr>
                        <m:baseJc m:val="center"/>
                        <m:plcHide m:val="1"/>
                        <m:mcs>
                          <m:mc>
                            <m:mcPr>
                              <m:mcJc m:val="left"/>
                              <m:count m:val="1"/>
                            </m:mcPr>
                          </m:mc>
                        </m:mcs>
                      </m:mPr>
                      <m:mr>
                        <m:e>
                          <m:r>
                            <m:t>0</m:t>
                          </m:r>
                          <m:r>
                            <m:rPr>
                              <m:sty m:val="p"/>
                            </m:rPr>
                            <m:t>,</m:t>
                          </m:r>
                          <m:r>
                            <m:t>s</m:t>
                          </m:r>
                          <m:r>
                            <m:rPr>
                              <m:sty m:val="p"/>
                            </m:rPr>
                            <m:t>&lt;</m:t>
                          </m:r>
                          <m:r>
                            <m:t>0</m:t>
                          </m:r>
                        </m:e>
                      </m:mr>
                      <m:mr>
                        <m:e>
                          <m:sSub>
                            <m:e>
                              <m:r>
                                <m:t>I</m:t>
                              </m:r>
                            </m:e>
                            <m:sub>
                              <m:r>
                                <m:t>n</m:t>
                              </m:r>
                            </m:sub>
                          </m:sSub>
                          <m:r>
                            <m:rPr>
                              <m:sty m:val="p"/>
                            </m:rPr>
                            <m:t>,</m:t>
                          </m:r>
                          <m:r>
                            <m:t>s</m:t>
                          </m:r>
                          <m:r>
                            <m:rPr>
                              <m:sty m:val="p"/>
                            </m:rPr>
                            <m:t>=</m:t>
                          </m:r>
                          <m:r>
                            <m:t>0</m:t>
                          </m:r>
                        </m:e>
                      </m:mr>
                      <m:mr>
                        <m:e>
                          <m:sSub>
                            <m:e>
                              <m:r>
                                <m:t>B</m:t>
                              </m:r>
                            </m:e>
                            <m:sub>
                              <m:r>
                                <m:t>1</m:t>
                              </m:r>
                              <m:d>
                                <m:dPr>
                                  <m:begChr m:val="("/>
                                  <m:endChr m:val=")"/>
                                  <m:sepChr m:val=""/>
                                  <m:grow/>
                                </m:dPr>
                                <m:e>
                                  <m:r>
                                    <m:t>τ</m:t>
                                  </m:r>
                                </m:e>
                              </m:d>
                            </m:sub>
                          </m:sSub>
                          <m:sSub>
                            <m:e>
                              <m:r>
                                <m:t>A</m:t>
                              </m:r>
                            </m:e>
                            <m:sub>
                              <m:r>
                                <m:t>s</m:t>
                              </m:r>
                              <m:r>
                                <m:rPr>
                                  <m:sty m:val="p"/>
                                </m:rPr>
                                <m:t>−</m:t>
                              </m:r>
                              <m:r>
                                <m:t>1</m:t>
                              </m:r>
                              <m:d>
                                <m:dPr>
                                  <m:begChr m:val="("/>
                                  <m:endChr m:val=")"/>
                                  <m:sepChr m:val=""/>
                                  <m:grow/>
                                </m:dPr>
                                <m:e>
                                  <m:r>
                                    <m:t>τ</m:t>
                                  </m:r>
                                </m:e>
                              </m:d>
                            </m:sub>
                          </m:sSub>
                          <m:r>
                            <m:rPr>
                              <m:sty m:val="p"/>
                            </m:rPr>
                            <m:t>+</m:t>
                          </m:r>
                          <m:r>
                            <m:rPr>
                              <m:sty m:val="p"/>
                            </m:rPr>
                            <m:t>…</m:t>
                          </m:r>
                          <m:r>
                            <m:rPr>
                              <m:sty m:val="p"/>
                            </m:rPr>
                            <m:t>+</m:t>
                          </m:r>
                          <m:sSub>
                            <m:e>
                              <m:r>
                                <m:t>B</m:t>
                              </m:r>
                            </m:e>
                            <m:sub>
                              <m:r>
                                <m:t>p</m:t>
                              </m:r>
                              <m:d>
                                <m:dPr>
                                  <m:begChr m:val="("/>
                                  <m:endChr m:val=")"/>
                                  <m:sepChr m:val=""/>
                                  <m:grow/>
                                </m:dPr>
                                <m:e>
                                  <m:r>
                                    <m:t>τ</m:t>
                                  </m:r>
                                </m:e>
                              </m:d>
                            </m:sub>
                          </m:sSub>
                          <m:sSub>
                            <m:e>
                              <m:r>
                                <m:t>A</m:t>
                              </m:r>
                            </m:e>
                            <m:sub>
                              <m:r>
                                <m:t>s</m:t>
                              </m:r>
                              <m:r>
                                <m:rPr>
                                  <m:sty m:val="p"/>
                                </m:rPr>
                                <m:t>−</m:t>
                              </m:r>
                              <m:r>
                                <m:t>p</m:t>
                              </m:r>
                              <m:d>
                                <m:dPr>
                                  <m:begChr m:val="("/>
                                  <m:endChr m:val=")"/>
                                  <m:sepChr m:val=""/>
                                  <m:grow/>
                                </m:dPr>
                                <m:e>
                                  <m:r>
                                    <m:t>τ</m:t>
                                  </m:r>
                                </m:e>
                              </m:d>
                            </m:sub>
                          </m:sSub>
                          <m:r>
                            <m:rPr>
                              <m:sty m:val="p"/>
                            </m:rPr>
                            <m:t>,</m:t>
                          </m:r>
                          <m:r>
                            <m:t>s</m:t>
                          </m:r>
                          <m:r>
                            <m:rPr>
                              <m:sty m:val="p"/>
                            </m:rPr>
                            <m:t>&gt;</m:t>
                          </m:r>
                          <m:r>
                            <m:t>0</m:t>
                          </m:r>
                        </m:e>
                      </m:mr>
                    </m:m>
                  </m:e>
                </m:d>
              </m:e>
            </m:mr>
            <m:mr>
              <m:e>
                <m:r>
                  <m:rPr>
                    <m:nor/>
                    <m:sty m:val="p"/>
                  </m:rPr>
                  <m:t>and </m:t>
                </m:r>
                <m:sSub>
                  <m:e>
                    <m:r>
                      <m:t>y</m:t>
                    </m:r>
                  </m:e>
                  <m:sub>
                    <m:r>
                      <m:t>t</m:t>
                    </m:r>
                  </m:sub>
                </m:sSub>
                <m:r>
                  <m:rPr>
                    <m:nor/>
                    <m:sty m:val="p"/>
                  </m:rPr>
                  <m:t> is given by the sum of </m:t>
                </m:r>
                <m:sSub>
                  <m:e>
                    <m:r>
                      <m:t>e</m:t>
                    </m:r>
                  </m:e>
                  <m:sub>
                    <m:r>
                      <m:t>t</m:t>
                    </m:r>
                    <m:d>
                      <m:dPr>
                        <m:begChr m:val="("/>
                        <m:endChr m:val=")"/>
                        <m:sepChr m:val=""/>
                        <m:grow/>
                      </m:dPr>
                      <m:e>
                        <m:r>
                          <m:t>τ</m:t>
                        </m:r>
                      </m:e>
                    </m:d>
                  </m:sub>
                </m:sSub>
              </m:e>
            </m:mr>
          </m:m>
        </m:oMath>
      </m:oMathPara>
    </w:p>
    <w:p>
      <w:pPr>
        <w:pStyle w:val="FirstParagraph"/>
      </w:pPr>
      <w:r>
        <w:t xml:space="preserve">, and is given by the sum of .</w:t>
      </w:r>
    </w:p>
    <w:p>
      <w:pPr>
        <w:pStyle w:val="BodyText"/>
      </w:pPr>
      <w:r>
        <w:t xml:space="preserve">The generalized forecast error variance decomposition (GFEVD),</w:t>
      </w:r>
      <m:oMath>
        <m:sSubSup>
          <m:e>
            <m:r>
              <m:t>θ</m:t>
            </m:r>
          </m:e>
          <m:sub>
            <m:r>
              <m:t>i</m:t>
            </m:r>
            <m:r>
              <m:rPr>
                <m:sty m:val="p"/>
              </m:rPr>
              <m:t>,</m:t>
            </m:r>
            <m:r>
              <m:t>j</m:t>
            </m:r>
          </m:sub>
          <m:sup>
            <m:r>
              <m:t>h</m:t>
            </m:r>
          </m:sup>
        </m:sSubSup>
      </m:oMath>
      <w:r>
        <w:t xml:space="preserve">, is computed as in</w:t>
      </w:r>
      <w:r>
        <w:t xml:space="preserve"> </w:t>
      </w:r>
      <w:r>
        <w:t xml:space="preserve">Diebold and Yılmaz (2014)</w:t>
      </w:r>
      <w:r>
        <w:t xml:space="preserve">. The GFEVD reflects the contribution of the i</w:t>
      </w:r>
      <w:r>
        <w:rPr>
          <w:vertAlign w:val="superscript"/>
        </w:rPr>
        <w:t xml:space="preserve">th</w:t>
      </w:r>
      <w:r>
        <w:t xml:space="preserve"> </w:t>
      </w:r>
      <w:r>
        <w:t xml:space="preserve">stock return (volatility) to the variance of the forecast error of the stock return (volatility) i</w:t>
      </w:r>
      <w:r>
        <w:rPr>
          <w:vertAlign w:val="superscript"/>
        </w:rPr>
        <w:t xml:space="preserve">th</w:t>
      </w:r>
      <w:r>
        <w:t xml:space="preserve"> </w:t>
      </w:r>
      <w:r>
        <w:t xml:space="preserve">at h-steps ahead and is defined as:</w:t>
      </w:r>
    </w:p>
    <w:p>
      <w:pPr>
        <w:pStyle w:val="BodyText"/>
      </w:pPr>
      <m:oMathPara>
        <m:oMathParaPr>
          <m:jc m:val="center"/>
        </m:oMathParaPr>
        <m:oMath>
          <m:sSubSup>
            <m:e>
              <m:r>
                <m:t>θ</m:t>
              </m:r>
            </m:e>
            <m:sub>
              <m:r>
                <m:t>j</m:t>
              </m:r>
              <m:r>
                <m:rPr>
                  <m:sty m:val="p"/>
                </m:rPr>
                <m:t>←</m:t>
              </m:r>
              <m:r>
                <m:t>i</m:t>
              </m:r>
              <m:r>
                <m:rPr>
                  <m:sty m:val="p"/>
                </m:rPr>
                <m:t>,</m:t>
              </m:r>
              <m:d>
                <m:dPr>
                  <m:begChr m:val="("/>
                  <m:endChr m:val=")"/>
                  <m:sepChr m:val=""/>
                  <m:grow/>
                </m:dPr>
                <m:e>
                  <m:r>
                    <m:t>τ</m:t>
                  </m:r>
                </m:e>
              </m:d>
            </m:sub>
            <m:sup>
              <m:d>
                <m:dPr>
                  <m:begChr m:val="("/>
                  <m:endChr m:val=")"/>
                  <m:sepChr m:val=""/>
                  <m:grow/>
                </m:dPr>
                <m:e>
                  <m:r>
                    <m:t>h</m:t>
                  </m:r>
                </m:e>
              </m:d>
            </m:sup>
          </m:sSubSup>
          <m:r>
            <m:rPr>
              <m:sty m:val="p"/>
            </m:rPr>
            <m:t>=</m:t>
          </m:r>
          <m:f>
            <m:fPr>
              <m:type m:val="bar"/>
            </m:fPr>
            <m:num>
              <m:sSubSup>
                <m:e>
                  <m:r>
                    <m:t>σ</m:t>
                  </m:r>
                </m:e>
                <m:sub>
                  <m:r>
                    <m:t>i</m:t>
                  </m:r>
                  <m:r>
                    <m:t>i</m:t>
                  </m:r>
                </m:sub>
                <m:sup>
                  <m:r>
                    <m:rPr>
                      <m:sty m:val="p"/>
                    </m:rPr>
                    <m:t>−</m:t>
                  </m:r>
                  <m:r>
                    <m:t>1</m:t>
                  </m:r>
                </m:sup>
              </m:sSubSup>
              <m:nary>
                <m:naryPr>
                  <m:chr m:val="∑"/>
                  <m:limLoc m:val="undOvr"/>
                  <m:subHide m:val="0"/>
                  <m:supHide m:val="0"/>
                </m:naryPr>
                <m:sub>
                  <m:r>
                    <m:t>l</m:t>
                  </m:r>
                  <m:r>
                    <m:rPr>
                      <m:sty m:val="p"/>
                    </m:rPr>
                    <m:t>=</m:t>
                  </m:r>
                  <m:r>
                    <m:t>0</m:t>
                  </m:r>
                </m:sub>
                <m:sup>
                  <m:r>
                    <m:t>h</m:t>
                  </m:r>
                </m:sup>
                <m:e>
                  <m:sSup>
                    <m:e>
                      <m:d>
                        <m:dPr>
                          <m:begChr m:val="("/>
                          <m:endChr m:val=")"/>
                          <m:sepChr m:val=""/>
                          <m:grow/>
                        </m:dPr>
                        <m:e>
                          <m:sSubSup>
                            <m:e>
                              <m:r>
                                <m:t>e</m:t>
                              </m:r>
                            </m:e>
                            <m:sub>
                              <m:r>
                                <m:t>j</m:t>
                              </m:r>
                            </m:sub>
                            <m:sup>
                              <m:r>
                                <m:rPr>
                                  <m:sty m:val="p"/>
                                </m:rPr>
                                <m:t>′</m:t>
                              </m:r>
                            </m:sup>
                          </m:sSubSup>
                          <m:sSub>
                            <m:e>
                              <m:r>
                                <m:t>h</m:t>
                              </m:r>
                            </m:e>
                            <m:sub>
                              <m:r>
                                <m:t>h</m:t>
                              </m:r>
                            </m:sub>
                          </m:sSub>
                          <m:sSub>
                            <m:e>
                              <m:r>
                                <m:t>Ω</m:t>
                              </m:r>
                            </m:e>
                            <m:sub>
                              <m:d>
                                <m:dPr>
                                  <m:begChr m:val="("/>
                                  <m:endChr m:val=")"/>
                                  <m:sepChr m:val=""/>
                                  <m:grow/>
                                </m:dPr>
                                <m:e>
                                  <m:r>
                                    <m:t>τ</m:t>
                                  </m:r>
                                </m:e>
                              </m:d>
                            </m:sub>
                          </m:sSub>
                          <m:sSub>
                            <m:e>
                              <m:r>
                                <m:t>e</m:t>
                              </m:r>
                            </m:e>
                            <m:sub>
                              <m:r>
                                <m:t>j</m:t>
                              </m:r>
                            </m:sub>
                          </m:sSub>
                        </m:e>
                      </m:d>
                    </m:e>
                    <m:sup>
                      <m:r>
                        <m:t>2</m:t>
                      </m:r>
                    </m:sup>
                  </m:sSup>
                </m:e>
              </m:nary>
            </m:num>
            <m:den>
              <m:nary>
                <m:naryPr>
                  <m:chr m:val="∑"/>
                  <m:limLoc m:val="undOvr"/>
                  <m:subHide m:val="0"/>
                  <m:supHide m:val="0"/>
                </m:naryPr>
                <m:sub>
                  <m:r>
                    <m:t>h</m:t>
                  </m:r>
                  <m:r>
                    <m:rPr>
                      <m:sty m:val="p"/>
                    </m:rPr>
                    <m:t>=</m:t>
                  </m:r>
                  <m:r>
                    <m:t>0</m:t>
                  </m:r>
                </m:sub>
                <m:sup>
                  <m:r>
                    <m:t>H</m:t>
                  </m:r>
                  <m:r>
                    <m:rPr>
                      <m:sty m:val="p"/>
                    </m:rPr>
                    <m:t>−</m:t>
                  </m:r>
                  <m:r>
                    <m:t>1</m:t>
                  </m:r>
                </m:sup>
                <m:e>
                  <m:d>
                    <m:dPr>
                      <m:begChr m:val="("/>
                      <m:endChr m:val=")"/>
                      <m:sepChr m:val=""/>
                      <m:grow/>
                    </m:dPr>
                    <m:e>
                      <m:sSubSup>
                        <m:e>
                          <m:r>
                            <m:t>e</m:t>
                          </m:r>
                        </m:e>
                        <m:sub>
                          <m:r>
                            <m:t>i</m:t>
                          </m:r>
                        </m:sub>
                        <m:sup>
                          <m:r>
                            <m:rPr>
                              <m:sty m:val="p"/>
                            </m:rPr>
                            <m:t>′</m:t>
                          </m:r>
                        </m:sup>
                      </m:sSubSup>
                      <m:sSub>
                        <m:e>
                          <m:r>
                            <m:t>h</m:t>
                          </m:r>
                        </m:e>
                        <m:sub>
                          <m:r>
                            <m:t>h</m:t>
                          </m:r>
                        </m:sub>
                      </m:sSub>
                      <m:sSub>
                        <m:e>
                          <m:r>
                            <m:t>Ω</m:t>
                          </m:r>
                        </m:e>
                        <m:sub>
                          <m:d>
                            <m:dPr>
                              <m:begChr m:val="("/>
                              <m:endChr m:val=")"/>
                              <m:sepChr m:val=""/>
                              <m:grow/>
                            </m:dPr>
                            <m:e>
                              <m:r>
                                <m:t>τ</m:t>
                              </m:r>
                            </m:e>
                          </m:d>
                        </m:sub>
                      </m:sSub>
                      <m:sSub>
                        <m:e>
                          <m:r>
                            <m:t>e</m:t>
                          </m:r>
                        </m:e>
                        <m:sub>
                          <m:r>
                            <m:t>i</m:t>
                          </m:r>
                        </m:sub>
                      </m:sSub>
                    </m:e>
                  </m:d>
                </m:e>
              </m:nary>
            </m:den>
          </m:f>
        </m:oMath>
      </m:oMathPara>
    </w:p>
    <w:p>
      <w:pPr>
        <w:pStyle w:val="FirstParagraph"/>
      </w:pPr>
      <w:r>
        <w:t xml:space="preserve">where, V is the variance matrix of the vector of residuals,</w:t>
      </w:r>
      <w:r>
        <w:t xml:space="preserve"> </w:t>
      </w:r>
      <m:oMath>
        <m:sSub>
          <m:e>
            <m:r>
              <m:t>σ</m:t>
            </m:r>
          </m:e>
          <m:sub>
            <m:r>
              <m:t>i</m:t>
            </m:r>
            <m:r>
              <m:t>i</m:t>
            </m:r>
          </m:sub>
        </m:sSub>
      </m:oMath>
      <w:r>
        <w:t xml:space="preserve"> </w:t>
      </w:r>
      <w:r>
        <w:t xml:space="preserve">is the j</w:t>
      </w:r>
      <w:r>
        <w:rPr>
          <w:vertAlign w:val="superscript"/>
        </w:rPr>
        <w:t xml:space="preserve">th</w:t>
      </w:r>
      <w:r>
        <w:t xml:space="preserve"> </w:t>
      </w:r>
      <w:r>
        <w:t xml:space="preserve">diagonal element of the V matrix, and</w:t>
      </w:r>
      <w:r>
        <w:t xml:space="preserve"> </w:t>
      </w:r>
      <m:oMath>
        <m:sSub>
          <m:e>
            <m:r>
              <m:t>e</m:t>
            </m:r>
          </m:e>
          <m:sub>
            <m:r>
              <m:t>i</m:t>
            </m:r>
          </m:sub>
        </m:sSub>
      </m:oMath>
      <w:r>
        <w:t xml:space="preserve">denotes a vector with a value of 1 for the i</w:t>
      </w:r>
      <w:r>
        <w:rPr>
          <w:vertAlign w:val="superscript"/>
        </w:rPr>
        <w:t xml:space="preserve">th</w:t>
      </w:r>
      <w:r>
        <w:t xml:space="preserve"> </w:t>
      </w:r>
      <w:r>
        <w:t xml:space="preserve">element and 0 otherwise.</w:t>
      </w:r>
    </w:p>
    <w:p>
      <w:pPr>
        <w:pStyle w:val="BodyText"/>
      </w:pPr>
      <w:r>
        <w:t xml:space="preserve">Its scaled version,</w:t>
      </w:r>
      <m:oMath>
        <m:sSubSup>
          <m:e>
            <m:r>
              <m:t>θ</m:t>
            </m:r>
          </m:e>
          <m:sub>
            <m:r>
              <m:t>j</m:t>
            </m:r>
            <m:r>
              <m:rPr>
                <m:sty m:val="p"/>
              </m:rPr>
              <m:t>←</m:t>
            </m:r>
            <m:r>
              <m:t>i</m:t>
            </m:r>
            <m:r>
              <m:rPr>
                <m:sty m:val="p"/>
              </m:rPr>
              <m:t>,</m:t>
            </m:r>
            <m:d>
              <m:dPr>
                <m:begChr m:val="("/>
                <m:endChr m:val=")"/>
                <m:sepChr m:val=""/>
                <m:grow/>
              </m:dPr>
              <m:e>
                <m:r>
                  <m:t>τ</m:t>
                </m:r>
              </m:e>
            </m:d>
          </m:sub>
          <m:sup>
            <m:r>
              <m:t>h</m:t>
            </m:r>
          </m:sup>
        </m:sSubSup>
      </m:oMath>
      <w:r>
        <w:t xml:space="preserve"> </w:t>
      </w:r>
      <w:r>
        <w:t xml:space="preserve">, is represented as:</w:t>
      </w:r>
    </w:p>
    <w:p>
      <w:pPr>
        <w:pStyle w:val="BodyText"/>
      </w:pPr>
      <m:oMathPara>
        <m:oMathParaPr>
          <m:jc m:val="center"/>
        </m:oMathParaPr>
        <m:oMath>
          <m:sSubSup>
            <m:e>
              <m:r>
                <m:t>θ</m:t>
              </m:r>
            </m:e>
            <m:sub>
              <m:r>
                <m:t>j</m:t>
              </m:r>
              <m:r>
                <m:rPr>
                  <m:sty m:val="p"/>
                </m:rPr>
                <m:t>←</m:t>
              </m:r>
              <m:r>
                <m:t>i</m:t>
              </m:r>
              <m:r>
                <m:rPr>
                  <m:sty m:val="p"/>
                </m:rPr>
                <m:t>,</m:t>
              </m:r>
              <m:d>
                <m:dPr>
                  <m:begChr m:val="("/>
                  <m:endChr m:val=")"/>
                  <m:sepChr m:val=""/>
                  <m:grow/>
                </m:dPr>
                <m:e>
                  <m:r>
                    <m:t>τ</m:t>
                  </m:r>
                </m:e>
              </m:d>
            </m:sub>
            <m:sup>
              <m:r>
                <m:t>h</m:t>
              </m:r>
            </m:sup>
          </m:sSubSup>
          <m:r>
            <m:rPr>
              <m:sty m:val="p"/>
            </m:rPr>
            <m:t>=</m:t>
          </m:r>
          <m:f>
            <m:fPr>
              <m:type m:val="bar"/>
            </m:fPr>
            <m:num>
              <m:sSubSup>
                <m:e>
                  <m:r>
                    <m:t>θ</m:t>
                  </m:r>
                </m:e>
                <m:sub>
                  <m:r>
                    <m:t>j</m:t>
                  </m:r>
                  <m:r>
                    <m:rPr>
                      <m:sty m:val="p"/>
                    </m:rPr>
                    <m:t>←</m:t>
                  </m:r>
                  <m:r>
                    <m:t>i</m:t>
                  </m:r>
                  <m:r>
                    <m:rPr>
                      <m:sty m:val="p"/>
                    </m:rPr>
                    <m:t>,</m:t>
                  </m:r>
                  <m:d>
                    <m:dPr>
                      <m:begChr m:val="("/>
                      <m:endChr m:val=")"/>
                      <m:sepChr m:val=""/>
                      <m:grow/>
                    </m:dPr>
                    <m:e>
                      <m:r>
                        <m:t>τ</m:t>
                      </m:r>
                    </m:e>
                  </m:d>
                </m:sub>
                <m:sup>
                  <m:d>
                    <m:dPr>
                      <m:begChr m:val="("/>
                      <m:endChr m:val=")"/>
                      <m:sepChr m:val=""/>
                      <m:grow/>
                    </m:dPr>
                    <m:e>
                      <m:r>
                        <m:t>h</m:t>
                      </m:r>
                    </m:e>
                  </m:d>
                </m:sup>
              </m:sSubSup>
            </m:num>
            <m:den>
              <m:nary>
                <m:naryPr>
                  <m:chr m:val="∑"/>
                  <m:limLoc m:val="undOvr"/>
                  <m:subHide m:val="0"/>
                  <m:supHide m:val="0"/>
                </m:naryPr>
                <m:sub>
                  <m:r>
                    <m:t>j</m:t>
                  </m:r>
                  <m:r>
                    <m:rPr>
                      <m:sty m:val="p"/>
                    </m:rPr>
                    <m:t>=</m:t>
                  </m:r>
                  <m:r>
                    <m:t>1</m:t>
                  </m:r>
                </m:sub>
                <m:sup>
                  <m:r>
                    <m:t>N</m:t>
                  </m:r>
                </m:sup>
                <m:e>
                  <m:sSubSup>
                    <m:e>
                      <m:r>
                        <m:t>θ</m:t>
                      </m:r>
                    </m:e>
                    <m:sub>
                      <m:r>
                        <m:t>j</m:t>
                      </m:r>
                      <m:r>
                        <m:rPr>
                          <m:sty m:val="p"/>
                        </m:rPr>
                        <m:t>←</m:t>
                      </m:r>
                      <m:r>
                        <m:t>i</m:t>
                      </m:r>
                      <m:r>
                        <m:rPr>
                          <m:sty m:val="p"/>
                        </m:rPr>
                        <m:t>,</m:t>
                      </m:r>
                      <m:d>
                        <m:dPr>
                          <m:begChr m:val="("/>
                          <m:endChr m:val=")"/>
                          <m:sepChr m:val=""/>
                          <m:grow/>
                        </m:dPr>
                        <m:e>
                          <m:r>
                            <m:t>τ</m:t>
                          </m:r>
                        </m:e>
                      </m:d>
                    </m:sub>
                    <m:sup>
                      <m:d>
                        <m:dPr>
                          <m:begChr m:val="("/>
                          <m:endChr m:val=")"/>
                          <m:sepChr m:val=""/>
                          <m:grow/>
                        </m:dPr>
                        <m:e>
                          <m:r>
                            <m:t>h</m:t>
                          </m:r>
                        </m:e>
                      </m:d>
                    </m:sup>
                  </m:sSubSup>
                </m:e>
              </m:nary>
            </m:den>
          </m:f>
        </m:oMath>
      </m:oMathPara>
    </w:p>
    <w:p>
      <w:pPr>
        <w:pStyle w:val="FirstParagraph"/>
      </w:pPr>
      <w:r>
        <w:t xml:space="preserve">The scaled version measures the spillover of the idiosyncratic shock affecting variable i onto variable j</w:t>
      </w:r>
      <w:r>
        <w:t xml:space="preserve"> </w:t>
      </w:r>
      <w:r>
        <w:t xml:space="preserve">(Ando, Greenwood-Nimmo, and Shin 2022)</w:t>
      </w:r>
      <w:r>
        <w:t xml:space="preserve">.</w:t>
      </w:r>
    </w:p>
    <w:p>
      <w:pPr>
        <w:pStyle w:val="BodyText"/>
      </w:pPr>
      <w:r>
        <w:t xml:space="preserve">Various spillover measures are estimated at each quantile and are summaries in Table 2</w:t>
      </w:r>
    </w:p>
    <w:p>
      <w:pPr>
        <w:pStyle w:val="TableCaption"/>
      </w:pPr>
      <w:r>
        <w:t xml:space="preserve">Table 1: Description of modelling outputs</w:t>
      </w:r>
    </w:p>
    <w:tbl>
      <w:tblPr>
        <w:tblStyle w:val="Table"/>
        <w:tblW w:type="pct" w:w="5000"/>
        <w:tblLook w:firstRow="1" w:lastRow="0" w:firstColumn="0" w:lastColumn="0" w:noHBand="0" w:noVBand="0" w:val="0020"/>
        <w:tblCaption w:val="Table 1: Description of modelling outputs"/>
      </w:tblPr>
      <w:tblGrid>
        <w:gridCol w:w="1980"/>
        <w:gridCol w:w="3960"/>
        <w:gridCol w:w="1980"/>
      </w:tblGrid>
      <w:tr>
        <w:trPr>
          <w:tblHeader w:val="true"/>
        </w:trPr>
        <w:tc>
          <w:tcPr/>
          <w:p>
            <w:pPr>
              <w:pStyle w:val="Compact"/>
              <w:jc w:val="left"/>
            </w:pPr>
            <w:r>
              <w:t xml:space="preserve">Name</w:t>
            </w:r>
          </w:p>
        </w:tc>
        <w:tc>
          <w:tcPr/>
          <w:p>
            <w:pPr>
              <w:pStyle w:val="Compact"/>
              <w:jc w:val="left"/>
            </w:pPr>
            <w:r>
              <w:t xml:space="preserve">Formula</w:t>
            </w:r>
          </w:p>
        </w:tc>
        <w:tc>
          <w:tcPr/>
          <w:p>
            <w:pPr>
              <w:pStyle w:val="Compact"/>
              <w:jc w:val="left"/>
            </w:pPr>
            <w:r>
              <w:t xml:space="preserve">Description</w:t>
            </w:r>
          </w:p>
        </w:tc>
      </w:tr>
      <w:tr>
        <w:tc>
          <w:tcPr/>
          <w:p>
            <w:pPr>
              <w:pStyle w:val="Compact"/>
              <w:jc w:val="left"/>
            </w:pPr>
            <w:r>
              <w:t xml:space="preserve">Own share</w:t>
            </w:r>
          </w:p>
        </w:tc>
        <w:tc>
          <w:tcPr/>
          <w:p>
            <w:pPr>
              <w:pStyle w:val="Compact"/>
              <w:jc w:val="left"/>
            </w:pPr>
            <m:oMathPara>
              <m:oMathParaPr>
                <m:jc m:val="center"/>
              </m:oMathParaPr>
              <m:oMath>
                <m:acc>
                  <m:accPr>
                    <m:chr m:val="̃"/>
                  </m:accPr>
                  <m:e>
                    <m:sSubSup>
                      <m:e>
                        <m:r>
                          <m:t>θ</m:t>
                        </m:r>
                      </m:e>
                      <m:sub>
                        <m:r>
                          <m:t>j</m:t>
                        </m:r>
                        <m:r>
                          <m:rPr>
                            <m:sty m:val="p"/>
                          </m:rPr>
                          <m:t>←</m:t>
                        </m:r>
                        <m:r>
                          <m:t>i</m:t>
                        </m:r>
                        <m:r>
                          <m:rPr>
                            <m:sty m:val="p"/>
                          </m:rPr>
                          <m:t>,</m:t>
                        </m:r>
                        <m:d>
                          <m:dPr>
                            <m:begChr m:val="("/>
                            <m:endChr m:val=")"/>
                            <m:sepChr m:val=""/>
                            <m:grow/>
                          </m:dPr>
                          <m:e>
                            <m:r>
                              <m:t>τ</m:t>
                            </m:r>
                          </m:e>
                        </m:d>
                      </m:sub>
                      <m:sup>
                        <m:r>
                          <m:t>h</m:t>
                        </m:r>
                      </m:sup>
                    </m:sSubSup>
                  </m:e>
                </m:acc>
              </m:oMath>
            </m:oMathPara>
          </w:p>
        </w:tc>
        <w:tc>
          <w:tcPr/>
          <w:p>
            <w:pPr>
              <w:pStyle w:val="Compact"/>
              <w:jc w:val="left"/>
            </w:pPr>
            <w:r>
              <w:t xml:space="preserve">The proportion of the h-steps-ahead GFECD of the ith variable that can be attributed to the shocks to variable i</w:t>
            </w:r>
          </w:p>
        </w:tc>
      </w:tr>
      <w:tr>
        <w:tc>
          <w:tcPr/>
          <w:p>
            <w:pPr>
              <w:pStyle w:val="Compact"/>
              <w:jc w:val="left"/>
            </w:pPr>
            <w:r>
              <w:t xml:space="preserve">FROM</w:t>
            </w:r>
          </w:p>
        </w:tc>
        <w:tc>
          <w:tcPr/>
          <w:p>
            <w:pPr>
              <w:pStyle w:val="Compact"/>
              <w:jc w:val="left"/>
            </w:pPr>
            <m:oMathPara>
              <m:oMathParaPr>
                <m:jc m:val="center"/>
              </m:oMathParaPr>
              <m:oMath>
                <m:sSubSup>
                  <m:e>
                    <m:r>
                      <m:t>F</m:t>
                    </m:r>
                  </m:e>
                  <m:sub>
                    <m:r>
                      <m:t>i</m:t>
                    </m:r>
                    <m:r>
                      <m:rPr>
                        <m:sty m:val="p"/>
                      </m:rPr>
                      <m:t>←</m:t>
                    </m:r>
                    <m:r>
                      <m:rPr>
                        <m:sty m:val="p"/>
                      </m:rPr>
                      <m:t>⋅</m:t>
                    </m:r>
                    <m:r>
                      <m:rPr>
                        <m:sty m:val="p"/>
                      </m:rPr>
                      <m:t>,</m:t>
                    </m:r>
                    <m:d>
                      <m:dPr>
                        <m:begChr m:val="("/>
                        <m:endChr m:val=")"/>
                        <m:sepChr m:val=""/>
                        <m:grow/>
                      </m:dPr>
                      <m:e>
                        <m:r>
                          <m:t>τ</m:t>
                        </m:r>
                      </m:e>
                    </m:d>
                  </m:sub>
                  <m:sup>
                    <m:r>
                      <m:t>h</m:t>
                    </m:r>
                  </m:sup>
                </m:sSubSup>
                <m:r>
                  <m:rPr>
                    <m:sty m:val="p"/>
                  </m:rPr>
                  <m:t>=</m:t>
                </m:r>
                <m:nary>
                  <m:naryPr>
                    <m:chr m:val="∑"/>
                    <m:limLoc m:val="undOvr"/>
                    <m:subHide m:val="0"/>
                    <m:supHide m:val="0"/>
                  </m:naryPr>
                  <m:sub>
                    <m:r>
                      <m:t>j</m:t>
                    </m:r>
                    <m:r>
                      <m:rPr>
                        <m:sty m:val="p"/>
                      </m:rPr>
                      <m:t>=</m:t>
                    </m:r>
                    <m:r>
                      <m:t>1</m:t>
                    </m:r>
                    <m:r>
                      <m:rPr>
                        <m:sty m:val="p"/>
                      </m:rPr>
                      <m:t>,</m:t>
                    </m:r>
                    <m:r>
                      <m:t>i</m:t>
                    </m:r>
                    <m:r>
                      <m:rPr>
                        <m:sty m:val="p"/>
                      </m:rPr>
                      <m:t>≠</m:t>
                    </m:r>
                    <m:r>
                      <m:t>j</m:t>
                    </m:r>
                  </m:sub>
                  <m:sup>
                    <m:r>
                      <m:t>m</m:t>
                    </m:r>
                  </m:sup>
                  <m:e>
                    <m:sSubSup>
                      <m:e>
                        <m:r>
                          <m:t>θ</m:t>
                        </m:r>
                      </m:e>
                      <m:sub>
                        <m:r>
                          <m:t>j</m:t>
                        </m:r>
                        <m:r>
                          <m:rPr>
                            <m:sty m:val="p"/>
                          </m:rPr>
                          <m:t>←</m:t>
                        </m:r>
                        <m:r>
                          <m:t>i</m:t>
                        </m:r>
                        <m:r>
                          <m:rPr>
                            <m:sty m:val="p"/>
                          </m:rPr>
                          <m:t>,</m:t>
                        </m:r>
                        <m:d>
                          <m:dPr>
                            <m:begChr m:val="("/>
                            <m:endChr m:val=")"/>
                            <m:sepChr m:val=""/>
                            <m:grow/>
                          </m:dPr>
                          <m:e>
                            <m:r>
                              <m:t>τ</m:t>
                            </m:r>
                          </m:e>
                        </m:d>
                      </m:sub>
                      <m:sup>
                        <m:r>
                          <m:t>h</m:t>
                        </m:r>
                      </m:sup>
                    </m:sSubSup>
                  </m:e>
                </m:nary>
              </m:oMath>
            </m:oMathPara>
          </w:p>
        </w:tc>
        <w:tc>
          <w:tcPr/>
          <w:p>
            <w:pPr>
              <w:pStyle w:val="Compact"/>
              <w:jc w:val="left"/>
            </w:pPr>
            <w:r>
              <w:t xml:space="preserve">Measures the total spillover from the system to i, capturing external condition effects on i.</w:t>
            </w:r>
          </w:p>
        </w:tc>
      </w:tr>
      <w:tr>
        <w:tc>
          <w:tcPr/>
          <w:p>
            <w:pPr>
              <w:pStyle w:val="Compact"/>
              <w:jc w:val="left"/>
            </w:pPr>
            <w:r>
              <w:t xml:space="preserve">TO</w:t>
            </w:r>
          </w:p>
        </w:tc>
        <w:tc>
          <w:tcPr/>
          <w:p>
            <w:pPr>
              <w:pStyle w:val="Compact"/>
              <w:jc w:val="left"/>
            </w:pPr>
            <m:oMathPara>
              <m:oMathParaPr>
                <m:jc m:val="center"/>
              </m:oMathParaPr>
              <m:oMath>
                <m:sSubSup>
                  <m:e>
                    <m:r>
                      <m:t>T</m:t>
                    </m:r>
                  </m:e>
                  <m:sub>
                    <m:r>
                      <m:rPr>
                        <m:sty m:val="p"/>
                      </m:rPr>
                      <m:t>⋅</m:t>
                    </m:r>
                    <m:r>
                      <m:rPr>
                        <m:sty m:val="p"/>
                      </m:rPr>
                      <m:t>←</m:t>
                    </m:r>
                    <m:r>
                      <m:t>i</m:t>
                    </m:r>
                    <m:r>
                      <m:rPr>
                        <m:sty m:val="p"/>
                      </m:rPr>
                      <m:t>,</m:t>
                    </m:r>
                    <m:d>
                      <m:dPr>
                        <m:begChr m:val="("/>
                        <m:endChr m:val=")"/>
                        <m:sepChr m:val=""/>
                        <m:grow/>
                      </m:dPr>
                      <m:e>
                        <m:r>
                          <m:t>τ</m:t>
                        </m:r>
                      </m:e>
                    </m:d>
                  </m:sub>
                  <m:sup>
                    <m:r>
                      <m:t>h</m:t>
                    </m:r>
                  </m:sup>
                </m:sSubSup>
                <m:r>
                  <m:rPr>
                    <m:sty m:val="p"/>
                  </m:rPr>
                  <m:t>=</m:t>
                </m:r>
                <m:nary>
                  <m:naryPr>
                    <m:chr m:val="∑"/>
                    <m:limLoc m:val="undOvr"/>
                    <m:subHide m:val="0"/>
                    <m:supHide m:val="0"/>
                  </m:naryPr>
                  <m:sub>
                    <m:r>
                      <m:t>j</m:t>
                    </m:r>
                    <m:r>
                      <m:rPr>
                        <m:sty m:val="p"/>
                      </m:rPr>
                      <m:t>=</m:t>
                    </m:r>
                    <m:r>
                      <m:t>1</m:t>
                    </m:r>
                    <m:r>
                      <m:rPr>
                        <m:sty m:val="p"/>
                      </m:rPr>
                      <m:t>,</m:t>
                    </m:r>
                    <m:r>
                      <m:t>i</m:t>
                    </m:r>
                    <m:r>
                      <m:rPr>
                        <m:sty m:val="p"/>
                      </m:rPr>
                      <m:t>≠</m:t>
                    </m:r>
                    <m:r>
                      <m:t>j</m:t>
                    </m:r>
                  </m:sub>
                  <m:sup>
                    <m:r>
                      <m:t>m</m:t>
                    </m:r>
                  </m:sup>
                  <m:e>
                    <m:sSubSup>
                      <m:e>
                        <m:r>
                          <m:t>θ</m:t>
                        </m:r>
                      </m:e>
                      <m:sub>
                        <m:r>
                          <m:t>j</m:t>
                        </m:r>
                        <m:r>
                          <m:rPr>
                            <m:sty m:val="p"/>
                          </m:rPr>
                          <m:t>←</m:t>
                        </m:r>
                        <m:r>
                          <m:t>i</m:t>
                        </m:r>
                        <m:r>
                          <m:rPr>
                            <m:sty m:val="p"/>
                          </m:rPr>
                          <m:t>,</m:t>
                        </m:r>
                        <m:d>
                          <m:dPr>
                            <m:begChr m:val="("/>
                            <m:endChr m:val=")"/>
                            <m:sepChr m:val=""/>
                            <m:grow/>
                          </m:dPr>
                          <m:e>
                            <m:r>
                              <m:t>τ</m:t>
                            </m:r>
                          </m:e>
                        </m:d>
                      </m:sub>
                      <m:sup>
                        <m:r>
                          <m:t>h</m:t>
                        </m:r>
                      </m:sup>
                    </m:sSubSup>
                  </m:e>
                </m:nary>
              </m:oMath>
            </m:oMathPara>
          </w:p>
        </w:tc>
        <w:tc>
          <w:tcPr/>
          <w:p>
            <w:pPr>
              <w:pStyle w:val="Compact"/>
              <w:jc w:val="left"/>
            </w:pPr>
            <w:r>
              <w:t xml:space="preserve">Measures the total spillover from i to the system, capturing the influence of ith node in the network.</w:t>
            </w:r>
          </w:p>
        </w:tc>
      </w:tr>
      <w:tr>
        <w:tc>
          <w:tcPr/>
          <w:p>
            <w:pPr>
              <w:pStyle w:val="Compact"/>
              <w:jc w:val="left"/>
            </w:pPr>
            <w:r>
              <w:t xml:space="preserve">NET</w:t>
            </w:r>
          </w:p>
        </w:tc>
        <w:tc>
          <w:tcPr/>
          <w:p>
            <w:pPr>
              <w:pStyle w:val="Compact"/>
              <w:jc w:val="left"/>
            </w:pPr>
            <m:oMathPara>
              <m:oMathParaPr>
                <m:jc m:val="center"/>
              </m:oMathParaPr>
              <m:oMath>
                <m:sSubSup>
                  <m:e>
                    <m:r>
                      <m:t>T</m:t>
                    </m:r>
                  </m:e>
                  <m:sub>
                    <m:r>
                      <m:rPr>
                        <m:sty m:val="p"/>
                      </m:rPr>
                      <m:t>⋅</m:t>
                    </m:r>
                    <m:r>
                      <m:rPr>
                        <m:sty m:val="p"/>
                      </m:rPr>
                      <m:t>←</m:t>
                    </m:r>
                    <m:r>
                      <m:t>i</m:t>
                    </m:r>
                    <m:r>
                      <m:rPr>
                        <m:sty m:val="p"/>
                      </m:rPr>
                      <m:t>,</m:t>
                    </m:r>
                    <m:d>
                      <m:dPr>
                        <m:begChr m:val="("/>
                        <m:endChr m:val=")"/>
                        <m:sepChr m:val=""/>
                        <m:grow/>
                      </m:dPr>
                      <m:e>
                        <m:r>
                          <m:t>τ</m:t>
                        </m:r>
                      </m:e>
                    </m:d>
                  </m:sub>
                  <m:sup>
                    <m:r>
                      <m:t>h</m:t>
                    </m:r>
                  </m:sup>
                </m:sSubSup>
                <m:r>
                  <m:rPr>
                    <m:sty m:val="p"/>
                  </m:rPr>
                  <m:t>−</m:t>
                </m:r>
                <m:sSubSup>
                  <m:e>
                    <m:r>
                      <m:t>F</m:t>
                    </m:r>
                  </m:e>
                  <m:sub>
                    <m:r>
                      <m:t>i</m:t>
                    </m:r>
                    <m:r>
                      <m:rPr>
                        <m:sty m:val="p"/>
                      </m:rPr>
                      <m:t>←</m:t>
                    </m:r>
                    <m:r>
                      <m:rPr>
                        <m:sty m:val="p"/>
                      </m:rPr>
                      <m:t>⋅</m:t>
                    </m:r>
                    <m:r>
                      <m:rPr>
                        <m:sty m:val="p"/>
                      </m:rPr>
                      <m:t>,</m:t>
                    </m:r>
                    <m:d>
                      <m:dPr>
                        <m:begChr m:val="("/>
                        <m:endChr m:val=")"/>
                        <m:sepChr m:val=""/>
                        <m:grow/>
                      </m:dPr>
                      <m:e>
                        <m:r>
                          <m:t>τ</m:t>
                        </m:r>
                      </m:e>
                    </m:d>
                  </m:sub>
                  <m:sup>
                    <m:r>
                      <m:t>h</m:t>
                    </m:r>
                  </m:sup>
                </m:sSubSup>
              </m:oMath>
            </m:oMathPara>
          </w:p>
        </w:tc>
        <w:tc>
          <w:tcPr/>
          <w:p>
            <w:pPr>
              <w:pStyle w:val="Compact"/>
              <w:jc w:val="left"/>
            </w:pPr>
            <w:r>
              <w:t xml:space="preserve">Meaures the directional connectedness of variable i.</w:t>
            </w:r>
          </w:p>
        </w:tc>
      </w:tr>
      <w:tr>
        <w:tc>
          <w:tcPr/>
          <w:p>
            <w:pPr>
              <w:pStyle w:val="Compact"/>
              <w:jc w:val="left"/>
            </w:pPr>
            <w:r>
              <w:t xml:space="preserve">TOTAL</w:t>
            </w:r>
          </w:p>
        </w:tc>
        <w:tc>
          <w:tcPr/>
          <w:p>
            <w:pPr>
              <w:pStyle w:val="Compact"/>
              <w:jc w:val="left"/>
            </w:pPr>
            <m:oMathPara>
              <m:oMathParaPr>
                <m:jc m:val="center"/>
              </m:oMathParaPr>
              <m:oMath>
                <m:sSubSup>
                  <m:e>
                    <m:r>
                      <m:t>S</m:t>
                    </m:r>
                  </m:e>
                  <m:sub>
                    <m:r>
                      <m:t>τ</m:t>
                    </m:r>
                  </m:sub>
                  <m:sup>
                    <m:r>
                      <m:t>h</m:t>
                    </m:r>
                  </m:sup>
                </m:sSubSup>
                <m:r>
                  <m:rPr>
                    <m:sty m:val="p"/>
                  </m:rPr>
                  <m:t>=</m:t>
                </m:r>
                <m:sSup>
                  <m:e>
                    <m:r>
                      <m:t>m</m:t>
                    </m:r>
                  </m:e>
                  <m:sup>
                    <m:r>
                      <m:rPr>
                        <m:sty m:val="p"/>
                      </m:rPr>
                      <m:t>−</m:t>
                    </m:r>
                    <m:r>
                      <m:t>1</m:t>
                    </m:r>
                  </m:sup>
                </m:sSup>
                <m:r>
                  <m:rPr>
                    <m:sty m:val="p"/>
                  </m:rPr>
                  <m:t>∑</m:t>
                </m:r>
                <m:sSubSup>
                  <m:e>
                    <m:r>
                      <m:t>F</m:t>
                    </m:r>
                  </m:e>
                  <m:sub>
                    <m:r>
                      <m:t>i</m:t>
                    </m:r>
                    <m:r>
                      <m:rPr>
                        <m:sty m:val="p"/>
                      </m:rPr>
                      <m:t>←</m:t>
                    </m:r>
                    <m:r>
                      <m:rPr>
                        <m:sty m:val="p"/>
                      </m:rPr>
                      <m:t>⋅</m:t>
                    </m:r>
                    <m:r>
                      <m:rPr>
                        <m:sty m:val="p"/>
                      </m:rPr>
                      <m:t>,</m:t>
                    </m:r>
                    <m:d>
                      <m:dPr>
                        <m:begChr m:val="("/>
                        <m:endChr m:val=")"/>
                        <m:sepChr m:val=""/>
                        <m:grow/>
                      </m:dPr>
                      <m:e>
                        <m:r>
                          <m:t>τ</m:t>
                        </m:r>
                      </m:e>
                    </m:d>
                  </m:sub>
                  <m:sup>
                    <m:r>
                      <m:t>h</m:t>
                    </m:r>
                  </m:sup>
                </m:sSubSup>
              </m:oMath>
            </m:oMathPara>
          </w:p>
        </w:tc>
        <w:tc>
          <w:tcPr/>
          <w:p>
            <w:pPr>
              <w:pStyle w:val="Compact"/>
              <w:jc w:val="left"/>
            </w:pPr>
            <w:r>
              <w:t xml:space="preserve">Is the sum of the from system estimates.</w:t>
            </w:r>
          </w:p>
        </w:tc>
      </w:tr>
    </w:tbl>
    <w:p>
      <w:pPr>
        <w:pStyle w:val="BodyText"/>
      </w:pPr>
      <w:r>
        <w:t xml:space="preserve">Table 1 describes the modelling output measurements. The third column describes how these can be interpreted in terms of their network dynamics. Note that, by construction,</w:t>
      </w:r>
      <w:r>
        <w:t xml:space="preserve"> </w:t>
      </w:r>
      <w:r>
        <w:rPr>
          <w:rStyle w:val="VerbatimChar"/>
        </w:rPr>
        <w:t xml:space="preserve">own share</w:t>
      </w:r>
      <w:r>
        <w:t xml:space="preserve"> </w:t>
      </w:r>
      <w:r>
        <w:t xml:space="preserve">and</w:t>
      </w:r>
      <w:r>
        <w:t xml:space="preserve"> </w:t>
      </w:r>
      <w:r>
        <w:rPr>
          <w:rStyle w:val="VerbatimChar"/>
        </w:rPr>
        <w:t xml:space="preserve">from system</w:t>
      </w:r>
      <w:r>
        <w:t xml:space="preserve"> </w:t>
      </w:r>
      <w:r>
        <w:t xml:space="preserve">sum to one for i=1,2,..,m, buy</w:t>
      </w:r>
      <w:r>
        <w:t xml:space="preserve"> </w:t>
      </w:r>
      <w:r>
        <w:rPr>
          <w:rStyle w:val="VerbatimChar"/>
        </w:rPr>
        <w:t xml:space="preserve">to system</w:t>
      </w:r>
      <w:r>
        <w:t xml:space="preserve"> </w:t>
      </w:r>
      <w:r>
        <w:t xml:space="preserve">can take values greater than or less than one.</w:t>
      </w:r>
    </w:p>
    <w:p>
      <w:pPr>
        <w:pStyle w:val="BodyText"/>
      </w:pPr>
      <w:r>
        <w:t xml:space="preserve">The lag order of the quantile VARs is selected based on SIC. It is equal to 1 for the quantile-VAR of return series and 2 for the quantile-VAR of volatility series. As for the forecast horizon (H), we use 10 days.</w:t>
      </w:r>
    </w:p>
    <w:p>
      <w:pPr>
        <w:pStyle w:val="BodyText"/>
      </w:pPr>
      <w:r>
        <w:t xml:space="preserve">Furthermore, we conduct a time-varying spillover analysis (Diebold and Yilmaz (2014) based on a rolling window of 200 days. To assess the robustness of our results, we use a fixed window length of 200 days and a 5-step forecast horizon and show that our spillover results remain almost the same, suggesting their robustness to the window size and forecast horizon. These results are not reported here but are available on request from the authors. (If needed, I can add these results to Appendix).</w:t>
      </w:r>
    </w:p>
    <w:bookmarkEnd w:id="43"/>
    <w:bookmarkEnd w:id="44"/>
    <w:bookmarkStart w:id="118" w:name="results"/>
    <w:p>
      <w:pPr>
        <w:pStyle w:val="Heading1"/>
      </w:pPr>
      <w:r>
        <w:t xml:space="preserve">4. </w:t>
      </w:r>
      <w:r>
        <w:rPr>
          <w:bCs/>
          <w:b/>
        </w:rPr>
        <w:t xml:space="preserve">Results</w:t>
      </w:r>
    </w:p>
    <w:p>
      <w:pPr>
        <w:pStyle w:val="FirstParagraph"/>
      </w:pPr>
      <w:r>
        <w:t xml:space="preserve">Measuring the nature and strength of financial market linkages has typically been done using conventional mean estimators.</w:t>
      </w:r>
      <w:r>
        <w:t xml:space="preserve"> </w:t>
      </w:r>
      <w:r>
        <w:t xml:space="preserve">Ando, Greenwood-Nimmo, and Shin (2022)</w:t>
      </w:r>
      <w:r>
        <w:t xml:space="preserve"> </w:t>
      </w:r>
      <w:r>
        <w:t xml:space="preserve">argue, systemic shocks are likely to be much larger than average and need not be the case that large shocks propagate in the same way as smaller shocks thus using regression quantile can answer the key research questions:</w:t>
      </w:r>
    </w:p>
    <w:p>
      <w:pPr>
        <w:pStyle w:val="BlockText"/>
      </w:pPr>
      <w:r>
        <w:t xml:space="preserve">Does the topology of the network change with the size of the shocks that affect the system?</w:t>
      </w:r>
    </w:p>
    <w:p>
      <w:pPr>
        <w:pStyle w:val="FirstParagraph"/>
      </w:pPr>
      <w:r>
        <w:t xml:space="preserve">In the context of global defence stocks, we are mostly interesting in the nature of network dynamics due to rare conflict events. In terms of financial risk management the propagation of idiosyncratic risk contagion is often defined in relation to the difference in the way that the shock propagate during rate events relative to normal times</w:t>
      </w:r>
      <w:r>
        <w:t xml:space="preserve"> </w:t>
      </w:r>
      <w:r>
        <w:t xml:space="preserve">(Londono 2019)</w:t>
      </w:r>
      <w:r>
        <w:t xml:space="preserve">. Our analysis thus attempts to investigating how much of the future uncertainty associated with stock i can be attribtuted to the idiosyncratic shocks coming from variable j as the shock size varies.</w:t>
      </w:r>
    </w:p>
    <w:p>
      <w:pPr>
        <w:pStyle w:val="BodyText"/>
      </w:pPr>
      <w:r>
        <w:t xml:space="preserve">What follows is a comprehensive look at both the return and volatility spillover of our sample of aerospace and defence stocks. The sampling period includes both normal and extreme market conditions, including some conflict periods.</w:t>
      </w:r>
    </w:p>
    <w:bookmarkStart w:id="71" w:name="network-topology-of-spillovers"/>
    <w:p>
      <w:pPr>
        <w:pStyle w:val="Heading2"/>
      </w:pPr>
      <w:r>
        <w:t xml:space="preserve">4.1 Network topology of spillovers</w:t>
      </w:r>
    </w:p>
    <w:p>
      <w:pPr>
        <w:pStyle w:val="FirstParagraph"/>
      </w:pPr>
      <w:r>
        <w:t xml:space="preserve">To understand the aggregate spillover intensity among our defence and aerospace stocks we use visualise the results of a full-sample analysis for both returns and volatility at the median, 5th and 95th percentile. These network visualisation represent the strength of the bilateral spillovers by relative thickness of the edges, while the size of each node is proportional to the square root of the total spillover (inwards and outwards)</w:t>
      </w:r>
      <w:r>
        <w:t xml:space="preserve"> </w:t>
      </w:r>
      <w:r>
        <w:t xml:space="preserve">(Ando, Greenwood-Nimmo, and Shin 2022)</w:t>
      </w:r>
      <w:r>
        <w:t xml:space="preserve">. Finally, the country of origin of the company is represented by colour.</w:t>
      </w:r>
    </w:p>
    <w:bookmarkStart w:id="57" w:name="returns"/>
    <w:p>
      <w:pPr>
        <w:pStyle w:val="Heading3"/>
      </w:pPr>
      <w:r>
        <w:t xml:space="preserve">4.1.1 Returns</w:t>
      </w:r>
    </w:p>
    <w:p>
      <w:pPr>
        <w:pStyle w:val="FirstParagraph"/>
      </w:pPr>
      <w:hyperlink w:anchor="fig-rtn50">
        <w:r>
          <w:rPr>
            <w:rStyle w:val="Hyperlink"/>
          </w:rPr>
          <w:t xml:space="preserve">Figure 5</w:t>
        </w:r>
      </w:hyperlink>
      <w:r>
        <w:t xml:space="preserve">,</w:t>
      </w:r>
      <w:r>
        <w:t xml:space="preserve"> </w:t>
      </w:r>
      <w:hyperlink w:anchor="fig-rtn5">
        <w:r>
          <w:rPr>
            <w:rStyle w:val="Hyperlink"/>
          </w:rPr>
          <w:t xml:space="preserve">Figure 7</w:t>
        </w:r>
      </w:hyperlink>
      <w:r>
        <w:t xml:space="preserve"> </w:t>
      </w:r>
      <w:r>
        <w:t xml:space="preserve">and</w:t>
      </w:r>
      <w:r>
        <w:t xml:space="preserve"> </w:t>
      </w:r>
      <w:hyperlink w:anchor="fig-rtn95">
        <w:r>
          <w:rPr>
            <w:rStyle w:val="Hyperlink"/>
          </w:rPr>
          <w:t xml:space="preserve">Figure 6</w:t>
        </w:r>
      </w:hyperlink>
      <w:r>
        <w:t xml:space="preserve"> </w:t>
      </w:r>
      <w:r>
        <w:t xml:space="preserve">illustrate the network visualisation of the static bilateral spillover effects of the 21 return series, while</w:t>
      </w:r>
      <w:r>
        <w:t xml:space="preserve"> </w:t>
      </w:r>
      <w:hyperlink w:anchor="fig-vol50">
        <w:r>
          <w:rPr>
            <w:rStyle w:val="Hyperlink"/>
          </w:rPr>
          <w:t xml:space="preserve">Figure 8</w:t>
        </w:r>
      </w:hyperlink>
      <w:r>
        <w:t xml:space="preserve">,</w:t>
      </w:r>
      <w:r>
        <w:t xml:space="preserve"> </w:t>
      </w:r>
      <w:hyperlink w:anchor="fig-vol5">
        <w:r>
          <w:rPr>
            <w:rStyle w:val="Hyperlink"/>
          </w:rPr>
          <w:t xml:space="preserve">Figure 10</w:t>
        </w:r>
      </w:hyperlink>
      <w:r>
        <w:t xml:space="preserve">, and</w:t>
      </w:r>
      <w:r>
        <w:t xml:space="preserve"> </w:t>
      </w:r>
      <w:hyperlink w:anchor="fig-vol95">
        <w:r>
          <w:rPr>
            <w:rStyle w:val="Hyperlink"/>
          </w:rPr>
          <w:t xml:space="preserve">Figure 9</w:t>
        </w:r>
      </w:hyperlink>
      <w:r>
        <w:t xml:space="preserve"> </w:t>
      </w:r>
      <w:r>
        <w:t xml:space="preserve">show the same visualisation but for the volatility series. Some similar patterns emerge, notably that consists size of the US stock nodes representing the large aggregate spillover effects in both directions. Rayeon Technology in all plots is the experience the largest aggregate spillover effects, indicative of its dominance in the industry. However there are some important differences also. Firstly, the strongest individual pairwise spillover effects are observed at the median conditional distribution. These stronger pairwise effects are observed mostly within countries. Notably is the Chinese stocks, which shows the strongest linkages within country but some of the weakest linkages outside their country of origin. In contrast, at the extremes of the distribution all pairwise spillover effects are weaker. This finding is consistent with previous studies, in times of stress the network is characterised by a larger number of weaker bilateral linkages resulting in an increase in the weight completeness of the network</w:t>
      </w:r>
      <w:r>
        <w:t xml:space="preserve"> </w:t>
      </w:r>
      <w:r>
        <w:t xml:space="preserve">(Dungey, Harvey, and Volkov 2019; Ando, Greenwood-Nimmo, and Shin 2022)</w:t>
      </w:r>
      <w:r>
        <w:t xml:space="preserve">. In our context, this would mean that while shocks spillovers between individual stocks pairs are small, the overall connectedness of the network is increasing in times of stress, meaning that the shock propogratio</w:t>
      </w:r>
    </w:p>
    <w:tbl>
      <w:tblPr>
        <w:tblStyle w:val="Table"/>
        <w:tblW w:type="pct" w:w="5000"/>
        <w:tblLook w:firstRow="0" w:lastRow="0" w:firstColumn="0" w:lastColumn="0" w:noHBand="0" w:noVBand="0" w:val="0000"/>
      </w:tblPr>
      <w:tblGrid>
        <w:gridCol w:w="7920"/>
      </w:tblGrid>
      <w:tr>
        <w:tc>
          <w:tcPr/>
          <w:bookmarkStart w:id="48" w:name="fig-rtn50"/>
          <w:p>
            <w:pPr>
              <w:pStyle w:val="Figure"/>
              <w:jc w:val="center"/>
            </w:pPr>
            <w:r>
              <w:drawing>
                <wp:inline>
                  <wp:extent cx="4620126" cy="3696101"/>
                  <wp:effectExtent b="0" l="0" r="0" t="0"/>
                  <wp:docPr descr="" title="" id="46" name="Picture"/>
                  <a:graphic>
                    <a:graphicData uri="http://schemas.openxmlformats.org/drawingml/2006/picture">
                      <pic:pic>
                        <pic:nvPicPr>
                          <pic:cNvPr descr="word_files/figure-docx/fig-rtn50-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Network topology of static results for returns at the 50th %tile</w:t>
            </w:r>
          </w:p>
          <w:bookmarkEnd w:id="4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2" w:name="fig-rtn95"/>
          <w:p>
            <w:pPr>
              <w:pStyle w:val="Figure"/>
              <w:jc w:val="center"/>
            </w:pPr>
            <w:r>
              <w:drawing>
                <wp:inline>
                  <wp:extent cx="4620126" cy="3696101"/>
                  <wp:effectExtent b="0" l="0" r="0" t="0"/>
                  <wp:docPr descr="" title="" id="50" name="Picture"/>
                  <a:graphic>
                    <a:graphicData uri="http://schemas.openxmlformats.org/drawingml/2006/picture">
                      <pic:pic>
                        <pic:nvPicPr>
                          <pic:cNvPr descr="word_files/figure-docx/fig-rtn95-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Network topology of static results for returns at the 95th %tile</w:t>
            </w:r>
          </w:p>
          <w:bookmarkEnd w:id="5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6" w:name="fig-rtn5"/>
          <w:p>
            <w:pPr>
              <w:pStyle w:val="Figure"/>
              <w:jc w:val="center"/>
            </w:pPr>
            <w:r>
              <w:drawing>
                <wp:inline>
                  <wp:extent cx="4620126" cy="3696101"/>
                  <wp:effectExtent b="0" l="0" r="0" t="0"/>
                  <wp:docPr descr="" title="" id="54" name="Picture"/>
                  <a:graphic>
                    <a:graphicData uri="http://schemas.openxmlformats.org/drawingml/2006/picture">
                      <pic:pic>
                        <pic:nvPicPr>
                          <pic:cNvPr descr="word_files/figure-docx/fig-rtn5-1.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Network topology of static results for returns at the 5th %tile</w:t>
            </w:r>
          </w:p>
          <w:bookmarkEnd w:id="56"/>
        </w:tc>
      </w:tr>
    </w:tbl>
    <w:bookmarkEnd w:id="57"/>
    <w:bookmarkStart w:id="70" w:name="volatility"/>
    <w:p>
      <w:pPr>
        <w:pStyle w:val="Heading3"/>
      </w:pPr>
      <w:r>
        <w:t xml:space="preserve">4.1.2 Volatility</w:t>
      </w:r>
    </w:p>
    <w:tbl>
      <w:tblPr>
        <w:tblStyle w:val="Table"/>
        <w:tblW w:type="pct" w:w="5000"/>
        <w:tblLook w:firstRow="0" w:lastRow="0" w:firstColumn="0" w:lastColumn="0" w:noHBand="0" w:noVBand="0" w:val="0000"/>
      </w:tblPr>
      <w:tblGrid>
        <w:gridCol w:w="7920"/>
      </w:tblGrid>
      <w:tr>
        <w:tc>
          <w:tcPr/>
          <w:bookmarkStart w:id="61" w:name="fig-vol50"/>
          <w:p>
            <w:pPr>
              <w:pStyle w:val="Figure"/>
              <w:jc w:val="center"/>
            </w:pPr>
            <w:r>
              <w:drawing>
                <wp:inline>
                  <wp:extent cx="4620126" cy="3696101"/>
                  <wp:effectExtent b="0" l="0" r="0" t="0"/>
                  <wp:docPr descr="" title="" id="59" name="Picture"/>
                  <a:graphic>
                    <a:graphicData uri="http://schemas.openxmlformats.org/drawingml/2006/picture">
                      <pic:pic>
                        <pic:nvPicPr>
                          <pic:cNvPr descr="word_files/figure-docx/fig-vol50-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Network topology of static results for volatility at the 50th %tile</w:t>
            </w:r>
          </w:p>
          <w:bookmarkEnd w:id="61"/>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5" w:name="fig-vol95"/>
          <w:p>
            <w:pPr>
              <w:pStyle w:val="Figure"/>
              <w:jc w:val="center"/>
            </w:pPr>
            <w:r>
              <w:drawing>
                <wp:inline>
                  <wp:extent cx="4620126" cy="3696101"/>
                  <wp:effectExtent b="0" l="0" r="0" t="0"/>
                  <wp:docPr descr="" title="" id="63" name="Picture"/>
                  <a:graphic>
                    <a:graphicData uri="http://schemas.openxmlformats.org/drawingml/2006/picture">
                      <pic:pic>
                        <pic:nvPicPr>
                          <pic:cNvPr descr="word_files/figure-docx/fig-vol95-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Network topology of static results for volatility at the 95th %tile</w:t>
            </w:r>
          </w:p>
          <w:bookmarkEnd w:id="6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9" w:name="fig-vol5"/>
          <w:p>
            <w:pPr>
              <w:pStyle w:val="Figure"/>
              <w:jc w:val="center"/>
            </w:pPr>
            <w:r>
              <w:drawing>
                <wp:inline>
                  <wp:extent cx="4620126" cy="3696101"/>
                  <wp:effectExtent b="0" l="0" r="0" t="0"/>
                  <wp:docPr descr="" title="" id="67" name="Picture"/>
                  <a:graphic>
                    <a:graphicData uri="http://schemas.openxmlformats.org/drawingml/2006/picture">
                      <pic:pic>
                        <pic:nvPicPr>
                          <pic:cNvPr descr="word_files/figure-docx/fig-vol5-1.png" id="68"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Network topology of static results for volatility at the 5th %tile</w:t>
            </w:r>
          </w:p>
          <w:bookmarkEnd w:id="69"/>
        </w:tc>
      </w:tr>
    </w:tbl>
    <w:bookmarkEnd w:id="70"/>
    <w:bookmarkEnd w:id="71"/>
    <w:bookmarkStart w:id="117" w:name="time-varying-spillover-results"/>
    <w:p>
      <w:pPr>
        <w:pStyle w:val="Heading2"/>
      </w:pPr>
      <w:r>
        <w:t xml:space="preserve">4.2 Time varying spillover results</w:t>
      </w:r>
    </w:p>
    <w:p>
      <w:pPr>
        <w:pStyle w:val="FirstParagraph"/>
      </w:pPr>
      <w:r>
        <w:t xml:space="preserve">So far, we have analysed the measures of connectedness for the entire sample using static network topology visualisation. Similar to other work, we illustrate meaningful quantile variation in the topology of both returns and volatility networks of defence stocks. Furthermore, we find that bilateral spillover of idiosyntractic risk are stronger for both returns and volatility systems of defence stocks. One important take away from this static apporach is restricting network analysis to the middle of the distribution will fail to capture the full extent of dependence when large shock occur</w:t>
      </w:r>
      <w:r>
        <w:t xml:space="preserve"> </w:t>
      </w:r>
    </w:p>
    <w:p>
      <w:pPr>
        <w:pStyle w:val="BodyText"/>
      </w:pPr>
      <w:r>
        <w:t xml:space="preserve">In this section, we conduct a rolling analysis with a quantile VAR to capture the time variability in the return spillovers in the normal times (median of the conditional distribution) and abnormal market conditions (upper and lower tails of the conditional distribution). We use a fixed window length of 200</w:t>
      </w:r>
      <w:r>
        <w:rPr>
          <w:rStyle w:val="FootnoteReference"/>
        </w:rPr>
        <w:footnoteReference w:id="72"/>
      </w:r>
      <w:r>
        <w:t xml:space="preserve"> </w:t>
      </w:r>
      <w:r>
        <w:t xml:space="preserve">days and a 10-step forecast horizon. This will provide a comprehensive study of connectedness, at the center and in the left and right tail dependence.</w:t>
      </w:r>
    </w:p>
    <w:bookmarkStart w:id="89" w:name="total-system-connectivity"/>
    <w:p>
      <w:pPr>
        <w:pStyle w:val="Heading3"/>
      </w:pPr>
      <w:r>
        <w:t xml:space="preserve">4.2.1 Total system connectivity</w:t>
      </w:r>
    </w:p>
    <w:tbl>
      <w:tblPr>
        <w:tblStyle w:val="Table"/>
        <w:tblW w:type="pct" w:w="5000"/>
        <w:tblLook w:firstRow="0" w:lastRow="0" w:firstColumn="0" w:lastColumn="0" w:noHBand="0" w:noVBand="0" w:val="0000"/>
      </w:tblPr>
      <w:tblGrid>
        <w:gridCol w:w="7920"/>
      </w:tblGrid>
      <w:tr>
        <w:tc>
          <w:tcPr/>
          <w:tbl>
            <w:tblPr>
              <w:tblStyle w:val="Table"/>
              <w:tblW w:type="pct" w:w="5000"/>
              <w:tblLook w:firstRow="0" w:lastRow="0" w:firstColumn="0" w:lastColumn="0" w:noHBand="0" w:noVBand="0" w:val="0000"/>
            </w:tblPr>
            <w:tblGrid>
              <w:gridCol w:w="7920"/>
            </w:tblGrid>
            <w:tr>
              <w:tc>
                <w:tcPr/>
                <w:bookmarkStart w:id="76" w:name="fig-TCI-1"/>
                <w:p>
                  <w:pPr>
                    <w:pStyle w:val="Figure"/>
                    <w:jc w:val="center"/>
                    <w:jc w:val="center"/>
                  </w:pPr>
                  <w:r>
                    <w:drawing>
                      <wp:inline>
                        <wp:extent cx="5334000" cy="4267200"/>
                        <wp:effectExtent b="0" l="0" r="0" t="0"/>
                        <wp:docPr descr="" title="" id="74" name="Picture"/>
                        <a:graphic>
                          <a:graphicData uri="http://schemas.openxmlformats.org/drawingml/2006/picture">
                            <pic:pic>
                              <pic:nvPicPr>
                                <pic:cNvPr descr="word_files/figure-docx/fig-TCI-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Conditional Median</w:t>
                  </w:r>
                </w:p>
                <w:bookmarkEnd w:id="76"/>
              </w:tc>
            </w:tr>
          </w:tbl>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tbl>
            <w:tblPr>
              <w:tblStyle w:val="Table"/>
              <w:tblW w:type="pct" w:w="5000"/>
              <w:tblLook w:firstRow="0" w:lastRow="0" w:firstColumn="0" w:lastColumn="0" w:noHBand="0" w:noVBand="0" w:val="0000"/>
            </w:tblPr>
            <w:tblGrid>
              <w:gridCol w:w="7920"/>
            </w:tblGrid>
            <w:tr>
              <w:tc>
                <w:tcPr/>
                <w:bookmarkStart w:id="80" w:name="fig-TCI-2"/>
                <w:p>
                  <w:pPr>
                    <w:pStyle w:val="Figure"/>
                    <w:jc w:val="center"/>
                    <w:jc w:val="center"/>
                  </w:pPr>
                  <w:r>
                    <w:drawing>
                      <wp:inline>
                        <wp:extent cx="5334000" cy="4267200"/>
                        <wp:effectExtent b="0" l="0" r="0" t="0"/>
                        <wp:docPr descr="" title="" id="78" name="Picture"/>
                        <a:graphic>
                          <a:graphicData uri="http://schemas.openxmlformats.org/drawingml/2006/picture">
                            <pic:pic>
                              <pic:nvPicPr>
                                <pic:cNvPr descr="word_files/figure-docx/fig-TCI-2.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5th%ile</w:t>
                  </w:r>
                </w:p>
                <w:bookmarkEnd w:id="80"/>
              </w:tc>
            </w:tr>
          </w:tbl>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tbl>
            <w:tblPr>
              <w:tblStyle w:val="Table"/>
              <w:tblW w:type="pct" w:w="5000"/>
              <w:tblLook w:firstRow="0" w:lastRow="0" w:firstColumn="0" w:lastColumn="0" w:noHBand="0" w:noVBand="0" w:val="0000"/>
            </w:tblPr>
            <w:tblGrid>
              <w:gridCol w:w="7920"/>
            </w:tblGrid>
            <w:tr>
              <w:tc>
                <w:tcPr/>
                <w:bookmarkStart w:id="84" w:name="fig-TCI-3"/>
                <w:p>
                  <w:pPr>
                    <w:pStyle w:val="Figure"/>
                    <w:jc w:val="center"/>
                    <w:jc w:val="center"/>
                  </w:pPr>
                  <w:r>
                    <w:drawing>
                      <wp:inline>
                        <wp:extent cx="5334000" cy="4267200"/>
                        <wp:effectExtent b="0" l="0" r="0" t="0"/>
                        <wp:docPr descr="" title="" id="82" name="Picture"/>
                        <a:graphic>
                          <a:graphicData uri="http://schemas.openxmlformats.org/drawingml/2006/picture">
                            <pic:pic>
                              <pic:nvPicPr>
                                <pic:cNvPr descr="word_files/figure-docx/fig-TCI-3.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95th%ile</w:t>
                  </w:r>
                </w:p>
                <w:bookmarkEnd w:id="84"/>
              </w:tc>
            </w:tr>
          </w:tbl>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tbl>
            <w:tblPr>
              <w:tblStyle w:val="Table"/>
              <w:tblW w:type="pct" w:w="5000"/>
              <w:tblLook w:firstRow="0" w:lastRow="0" w:firstColumn="0" w:lastColumn="0" w:noHBand="0" w:noVBand="0" w:val="0000"/>
            </w:tblPr>
            <w:tblGrid>
              <w:gridCol w:w="7920"/>
            </w:tblGrid>
            <w:tr>
              <w:tc>
                <w:tcPr/>
                <w:bookmarkStart w:id="88" w:name="fig-TCI-4"/>
                <w:p>
                  <w:pPr>
                    <w:pStyle w:val="Figure"/>
                    <w:jc w:val="center"/>
                    <w:jc w:val="center"/>
                  </w:pPr>
                  <w:r>
                    <w:drawing>
                      <wp:inline>
                        <wp:extent cx="5334000" cy="4267200"/>
                        <wp:effectExtent b="0" l="0" r="0" t="0"/>
                        <wp:docPr descr="" title="" id="86" name="Picture"/>
                        <a:graphic>
                          <a:graphicData uri="http://schemas.openxmlformats.org/drawingml/2006/picture">
                            <pic:pic>
                              <pic:nvPicPr>
                                <pic:cNvPr descr="word_files/figure-docx/fig-TCI-4.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 95th%ile - 5th%ile</w:t>
                  </w:r>
                </w:p>
                <w:bookmarkEnd w:id="88"/>
              </w:tc>
            </w:tr>
          </w:tbl>
          <w:p/>
        </w:tc>
      </w:tr>
    </w:tbl>
    <w:p>
      <w:pPr>
        <w:pStyle w:val="BodyText"/>
      </w:pPr>
      <w:pPr>
        <w:spacing w:before="200"/>
        <w:pStyle w:val="ImageCaption"/>
      </w:pPr>
      <w:r>
        <w:t xml:space="preserve">Figure 11: Comparing total connectedness of returns and volatility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43"/>
        <w:gridCol w:w="1689"/>
        <w:gridCol w:w="6906"/>
      </w:tblGrid>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label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description</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2014-02-20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Russia began annexation of Crimea</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2014-04-07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Start of war in Donbas by pro-Russian activists</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2014-10-15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October 2014 flash crash</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2016-06-23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Brexit referendum</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2016-12-14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Federal Reserve raises interest rates</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2017-03-29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the United Kingdom invokes article 50 of the Lisbon Treaty</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2017-06-08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snap election held in the United Kingdom</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2020-03-18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Dash for cash crisis in bond market peaks</w:t>
            </w:r>
          </w:p>
        </w:tc>
      </w:tr>
      <w:tr>
        <w:trPr>
          <w:cantSplit/>
          <w:trHeight w:val="62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2022-02-24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Russia initiated a special military operation in Donbas</w:t>
            </w:r>
          </w:p>
        </w:tc>
      </w:tr>
    </w:tbl>
    <w:p>
      <w:pPr>
        <w:pStyle w:val="BodyText"/>
      </w:pPr>
      <w:r>
        <w:t xml:space="preserve">To guide the reader the dates of some important events are marked by vertical red dashed lines. These dates a described in</w:t>
      </w:r>
      <w:r>
        <w:t xml:space="preserve"> </w:t>
      </w:r>
      <w:r>
        <w:rPr>
          <w:bCs/>
          <w:b/>
        </w:rPr>
        <w:t xml:space="preserve">?@tbl-dates</w:t>
      </w:r>
      <w:r>
        <w:t xml:space="preserve">. The TOTAL connectedness index at the conditional median (a measure of the average connectedness) and extremes for returns and volatility systems are given in</w:t>
      </w:r>
      <w:r>
        <w:t xml:space="preserve"> </w:t>
      </w:r>
      <w:hyperlink w:anchor="fig-TCI">
        <w:r>
          <w:rPr>
            <w:rStyle w:val="Hyperlink"/>
          </w:rPr>
          <w:t xml:space="preserve">Figure 11</w:t>
        </w:r>
      </w:hyperlink>
      <w:r>
        <w:t xml:space="preserve">. In the spirit of</w:t>
      </w:r>
      <w:r>
        <w:t xml:space="preserve"> </w:t>
      </w:r>
      <w:r>
        <w:t xml:space="preserve">Ando, Greenwood-Nimmo, and Shin (2022)</w:t>
      </w:r>
      <w:r>
        <w:t xml:space="preserve">, the final pair of graphs shows the relative tail dependence (RTD) calculated as the different between the 95th and 5th percentile. Positive (negative) values of RTD indicate stronger (weaker) dependence in the right tail compared to the left tail. For returns we interpret increases (decreases) in RTD as evidence of a rising (falling) connectedness of financial performance of defence stocks. For volatility we interpret increases (decreases) in RTD as evidence of rising (falling) connectedness of financial uncertainty in defence stocks, or more succinctly, rising (failing) financial fragility as positive (negative) volatility shocks deseminate through the system of defence stocks</w:t>
      </w:r>
    </w:p>
    <w:p>
      <w:pPr>
        <w:pStyle w:val="BodyText"/>
      </w:pPr>
      <w:hyperlink w:anchor="fig-TCI">
        <w:r>
          <w:rPr>
            <w:rStyle w:val="Hyperlink"/>
          </w:rPr>
          <w:t xml:space="preserve">Figure 11</w:t>
        </w:r>
      </w:hyperlink>
      <w:r>
        <w:t xml:space="preserve"> </w:t>
      </w:r>
      <w:r>
        <w:t xml:space="preserve">(a) shows that in normal conditions the connectedness in the returns system tends to be larger than that of the volatility system of defence stocks. The connectedness reaches it peak at point h (the dash for cash event) at the beginning of the COVID-19 pandemic. Importantly, while the connectedness levels are greater in the returns system the volatility system connectedness exhibits higher sensitivity to shocks, with the largest regime shift at point h.</w:t>
      </w:r>
    </w:p>
    <w:p>
      <w:pPr>
        <w:pStyle w:val="BodyText"/>
      </w:pPr>
      <w:hyperlink w:anchor="fig-TCI">
        <w:r>
          <w:rPr>
            <w:rStyle w:val="Hyperlink"/>
          </w:rPr>
          <w:t xml:space="preserve">Figure 11</w:t>
        </w:r>
      </w:hyperlink>
      <w:r>
        <w:t xml:space="preserve"> </w:t>
      </w:r>
      <w:r>
        <w:t xml:space="preserve">(b) and (c) shows the time variation total system connectivity at the 5th and 95th percentiles of the conditional distributions. It is noted that return system connectedness is persistently high (above 90) at both tails of the conditional distribution, while volatility system connnectedness in period of extremely low volatility (5th%ile) is more sensitivity temporal events.</w:t>
      </w:r>
    </w:p>
    <w:p>
      <w:pPr>
        <w:pStyle w:val="BodyText"/>
      </w:pPr>
      <w:hyperlink w:anchor="fig-TCI">
        <w:r>
          <w:rPr>
            <w:rStyle w:val="Hyperlink"/>
          </w:rPr>
          <w:t xml:space="preserve">Figure 11</w:t>
        </w:r>
      </w:hyperlink>
      <w:r>
        <w:t xml:space="preserve"> </w:t>
      </w:r>
      <w:r>
        <w:t xml:space="preserve">(d) shows that time variation of the RTD for returns is symmetrical over the period</w:t>
      </w:r>
      <w:r>
        <w:t xml:space="preserve"> </w:t>
      </w:r>
      <m:oMath>
        <m:r>
          <m:rPr>
            <m:sty m:val="p"/>
          </m:rPr>
          <m:t>±</m:t>
        </m:r>
        <m:r>
          <m:t>3</m:t>
        </m:r>
      </m:oMath>
      <w:r>
        <w:t xml:space="preserve"> </w:t>
      </w:r>
      <w:r>
        <w:t xml:space="preserve">indicative of both an equally spread of positive and negative feedback loops in return spillover effects. In contrast,</w:t>
      </w:r>
      <w:r>
        <w:t xml:space="preserve"> </w:t>
      </w:r>
      <w:hyperlink w:anchor="fig-TCI">
        <w:r>
          <w:rPr>
            <w:rStyle w:val="Hyperlink"/>
          </w:rPr>
          <w:t xml:space="preserve">Figure 11</w:t>
        </w:r>
      </w:hyperlink>
      <w:r>
        <w:t xml:space="preserve"> </w:t>
      </w:r>
      <w:r>
        <w:t xml:space="preserve">(d) shows the persistent onesidedness of the RTD for the volatility series, with the right tail of the condition distribution dominant throughout the period. This asymmetry suggests across defence is amplified by the size of that uncertainty. Taken together, these results suggest that only the total connectedness of defence stocks’ volatility is affected by the size of the volatility in the system.</w:t>
      </w:r>
    </w:p>
    <w:p>
      <w:pPr>
        <w:pStyle w:val="BodyText"/>
      </w:pPr>
      <w:r>
        <w:t xml:space="preserve">Finally, we consider the chronological order prominent global economic and conflict turmoil in the context of median and extreme linkages in the systems of volatility and returns. Some striking patterns emerge in this chronological ordering. First from the beginning of the conflict in Crimea (a + b) to the Brexit referendum (d) the RTD for volatility trends down, indicative of an increase in resilence (reduction in fragility) in the defence system. This is coupled with the fact that RTD was mostly positive for the return system in this sub-period. Taken together these findings suggested that upper tail financial performance (right-tail of the conditional distribution) in this period create some spillover effects, while the financial fragility of the system weakened. There is also a notable regime shift at dash for cash date (h) where the financial fragility (the volatility system) fell by 50% (TCI = 40 to TCI = 20).</w:t>
      </w:r>
    </w:p>
    <w:bookmarkEnd w:id="89"/>
    <w:bookmarkStart w:id="116" w:name="individual-connectivity"/>
    <w:p>
      <w:pPr>
        <w:pStyle w:val="Heading3"/>
      </w:pPr>
      <w:r>
        <w:t xml:space="preserve">4.2.2 Individual connectivity</w:t>
      </w:r>
    </w:p>
    <w:p>
      <w:pPr>
        <w:pStyle w:val="FirstParagraph"/>
      </w:pPr>
      <w:r>
        <w:t xml:space="preserve">To disentagle the total connectedness varation further explore the net spillover effects (</w:t>
      </w:r>
      <m:oMath>
        <m:sSubSup>
          <m:e>
            <m:r>
              <m:t>T</m:t>
            </m:r>
          </m:e>
          <m:sub>
            <m:r>
              <m:rPr>
                <m:sty m:val="p"/>
              </m:rPr>
              <m:t>⋅</m:t>
            </m:r>
            <m:r>
              <m:rPr>
                <m:sty m:val="p"/>
              </m:rPr>
              <m:t>←</m:t>
            </m:r>
            <m:r>
              <m:t>i</m:t>
            </m:r>
            <m:r>
              <m:rPr>
                <m:sty m:val="p"/>
              </m:rPr>
              <m:t>,</m:t>
            </m:r>
            <m:d>
              <m:dPr>
                <m:begChr m:val="("/>
                <m:endChr m:val=")"/>
                <m:sepChr m:val=""/>
                <m:grow/>
              </m:dPr>
              <m:e>
                <m:r>
                  <m:t>τ</m:t>
                </m:r>
              </m:e>
            </m:d>
          </m:sub>
          <m:sup>
            <m:r>
              <m:t>h</m:t>
            </m:r>
          </m:sup>
        </m:sSubSup>
        <m:r>
          <m:rPr>
            <m:sty m:val="p"/>
          </m:rPr>
          <m:t>−</m:t>
        </m:r>
        <m:sSubSup>
          <m:e>
            <m:r>
              <m:t>F</m:t>
            </m:r>
          </m:e>
          <m:sub>
            <m:r>
              <m:t>i</m:t>
            </m:r>
            <m:r>
              <m:rPr>
                <m:sty m:val="p"/>
              </m:rPr>
              <m:t>←</m:t>
            </m:r>
            <m:r>
              <m:rPr>
                <m:sty m:val="p"/>
              </m:rPr>
              <m:t>⋅</m:t>
            </m:r>
            <m:r>
              <m:rPr>
                <m:sty m:val="p"/>
              </m:rPr>
              <m:t>,</m:t>
            </m:r>
            <m:d>
              <m:dPr>
                <m:begChr m:val="("/>
                <m:endChr m:val=")"/>
                <m:sepChr m:val=""/>
                <m:grow/>
              </m:dPr>
              <m:e>
                <m:r>
                  <m:t>τ</m:t>
                </m:r>
              </m:e>
            </m:d>
          </m:sub>
          <m:sup>
            <m:r>
              <m:t>h</m:t>
            </m:r>
          </m:sup>
        </m:sSubSup>
      </m:oMath>
      <w:r>
        <w:t xml:space="preserve">). The net spillover estimates for returns at the median, lower and upper tails for returns and volatility are given in</w:t>
      </w:r>
      <w:r>
        <w:t xml:space="preserve"> </w:t>
      </w:r>
      <w:hyperlink w:anchor="fig-netrtn">
        <w:r>
          <w:rPr>
            <w:rStyle w:val="Hyperlink"/>
          </w:rPr>
          <w:t xml:space="preserve">Figure 12</w:t>
        </w:r>
      </w:hyperlink>
      <w:r>
        <w:t xml:space="preserve"> </w:t>
      </w:r>
      <w:r>
        <w:t xml:space="preserve">and</w:t>
      </w:r>
      <w:r>
        <w:t xml:space="preserve"> </w:t>
      </w:r>
      <w:hyperlink w:anchor="fig-netvol">
        <w:r>
          <w:rPr>
            <w:rStyle w:val="Hyperlink"/>
          </w:rPr>
          <w:t xml:space="preserve">Figure 13</w:t>
        </w:r>
      </w:hyperlink>
      <w:r>
        <w:t xml:space="preserve">, respectively.</w:t>
      </w:r>
    </w:p>
    <w:tbl>
      <w:tblPr>
        <w:tblStyle w:val="Table"/>
        <w:tblW w:type="pct" w:w="5000"/>
        <w:tblLook w:firstRow="0" w:lastRow="0" w:firstColumn="0" w:lastColumn="0" w:noHBand="0" w:noVBand="0" w:val="0000"/>
      </w:tblPr>
      <w:tblGrid>
        <w:gridCol w:w="7920"/>
      </w:tblGrid>
      <w:tr>
        <w:tc>
          <w:tcPr/>
          <w:bookmarkStart w:id="102" w:name="fig-netrtn"/>
          <w:tbl>
            <w:tblPr>
              <w:tblStyle w:val="Table"/>
              <w:tblW w:type="pct" w:w="5000"/>
              <w:tblLook w:firstRow="0" w:lastRow="0" w:firstColumn="0" w:lastColumn="0" w:noHBand="0" w:noVBand="0" w:val="0000"/>
            </w:tblPr>
            <w:tblGrid>
              <w:gridCol w:w="7920"/>
            </w:tblGrid>
            <w:tr>
              <w:tc>
                <w:tcPr/>
                <w:bookmarkStart w:id="93" w:name="fig-netrtn-1"/>
                <w:p>
                  <w:pPr>
                    <w:pStyle w:val="Figure"/>
                    <w:jc w:val="center"/>
                    <w:jc w:val="center"/>
                  </w:pPr>
                  <w:r>
                    <w:drawing>
                      <wp:inline>
                        <wp:extent cx="4620126" cy="3696101"/>
                        <wp:effectExtent b="0" l="0" r="0" t="0"/>
                        <wp:docPr descr="" title="" id="91" name="Picture"/>
                        <a:graphic>
                          <a:graphicData uri="http://schemas.openxmlformats.org/drawingml/2006/picture">
                            <pic:pic>
                              <pic:nvPicPr>
                                <pic:cNvPr descr="word_files/figure-docx/fig-netrtn-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Median</w:t>
                  </w:r>
                </w:p>
                <w:bookmarkEnd w:id="93"/>
              </w:tc>
            </w:tr>
          </w:tbl>
          <w:tbl>
            <w:tblPr>
              <w:tblStyle w:val="Table"/>
              <w:tblW w:type="pct" w:w="5000"/>
              <w:tblLook w:firstRow="0" w:lastRow="0" w:firstColumn="0" w:lastColumn="0" w:noHBand="0" w:noVBand="0" w:val="0000"/>
            </w:tblPr>
            <w:tblGrid>
              <w:gridCol w:w="7920"/>
            </w:tblGrid>
            <w:tr>
              <w:tc>
                <w:tcPr/>
                <w:bookmarkStart w:id="97" w:name="fig-netrtn-2"/>
                <w:p>
                  <w:pPr>
                    <w:pStyle w:val="Figure"/>
                    <w:jc w:val="center"/>
                    <w:jc w:val="center"/>
                  </w:pPr>
                  <w:r>
                    <w:drawing>
                      <wp:inline>
                        <wp:extent cx="4620126" cy="3696101"/>
                        <wp:effectExtent b="0" l="0" r="0" t="0"/>
                        <wp:docPr descr="" title="" id="95" name="Picture"/>
                        <a:graphic>
                          <a:graphicData uri="http://schemas.openxmlformats.org/drawingml/2006/picture">
                            <pic:pic>
                              <pic:nvPicPr>
                                <pic:cNvPr descr="word_files/figure-docx/fig-netrtn-2.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5th%ile</w:t>
                  </w:r>
                </w:p>
                <w:bookmarkEnd w:id="97"/>
              </w:tc>
            </w:tr>
          </w:tbl>
          <w:tbl>
            <w:tblPr>
              <w:tblStyle w:val="Table"/>
              <w:tblW w:type="pct" w:w="5000"/>
              <w:tblLook w:firstRow="0" w:lastRow="0" w:firstColumn="0" w:lastColumn="0" w:noHBand="0" w:noVBand="0" w:val="0000"/>
            </w:tblPr>
            <w:tblGrid>
              <w:gridCol w:w="7920"/>
            </w:tblGrid>
            <w:tr>
              <w:tc>
                <w:tcPr/>
                <w:bookmarkStart w:id="101" w:name="fig-netrtn-3"/>
                <w:p>
                  <w:pPr>
                    <w:pStyle w:val="Figure"/>
                    <w:jc w:val="center"/>
                    <w:jc w:val="center"/>
                  </w:pPr>
                  <w:r>
                    <w:drawing>
                      <wp:inline>
                        <wp:extent cx="4620126" cy="3696101"/>
                        <wp:effectExtent b="0" l="0" r="0" t="0"/>
                        <wp:docPr descr="" title="" id="99" name="Picture"/>
                        <a:graphic>
                          <a:graphicData uri="http://schemas.openxmlformats.org/drawingml/2006/picture">
                            <pic:pic>
                              <pic:nvPicPr>
                                <pic:cNvPr descr="word_files/figure-docx/fig-netrtn-3.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95th%ile</w:t>
                  </w:r>
                </w:p>
                <w:bookmarkEnd w:id="101"/>
              </w:tc>
            </w:tr>
          </w:tbl>
          <w:p>
            <w:pPr>
              <w:jc w:val="center"/>
            </w:pPr>
            <w:pPr>
              <w:jc w:val="start"/>
              <w:spacing w:before="200"/>
              <w:pStyle w:val="ImageCaption"/>
            </w:pPr>
            <w:r>
              <w:t xml:space="preserve">Figure 12: Net spillover of individual stock returns</w:t>
            </w:r>
          </w:p>
          <w:bookmarkEnd w:id="10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15" w:name="fig-netvol"/>
          <w:tbl>
            <w:tblPr>
              <w:tblStyle w:val="Table"/>
              <w:tblW w:type="pct" w:w="5000"/>
              <w:tblLook w:firstRow="0" w:lastRow="0" w:firstColumn="0" w:lastColumn="0" w:noHBand="0" w:noVBand="0" w:val="0000"/>
            </w:tblPr>
            <w:tblGrid>
              <w:gridCol w:w="7920"/>
            </w:tblGrid>
            <w:tr>
              <w:tc>
                <w:tcPr/>
                <w:bookmarkStart w:id="106" w:name="fig-netvol-1"/>
                <w:p>
                  <w:pPr>
                    <w:pStyle w:val="Figure"/>
                    <w:jc w:val="center"/>
                    <w:jc w:val="center"/>
                  </w:pPr>
                  <w:r>
                    <w:drawing>
                      <wp:inline>
                        <wp:extent cx="4620126" cy="3696101"/>
                        <wp:effectExtent b="0" l="0" r="0" t="0"/>
                        <wp:docPr descr="" title="" id="104" name="Picture"/>
                        <a:graphic>
                          <a:graphicData uri="http://schemas.openxmlformats.org/drawingml/2006/picture">
                            <pic:pic>
                              <pic:nvPicPr>
                                <pic:cNvPr descr="word_files/figure-docx/fig-netvol-1.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Median</w:t>
                  </w:r>
                </w:p>
                <w:bookmarkEnd w:id="106"/>
              </w:tc>
            </w:tr>
          </w:tbl>
          <w:tbl>
            <w:tblPr>
              <w:tblStyle w:val="Table"/>
              <w:tblW w:type="pct" w:w="5000"/>
              <w:tblLook w:firstRow="0" w:lastRow="0" w:firstColumn="0" w:lastColumn="0" w:noHBand="0" w:noVBand="0" w:val="0000"/>
            </w:tblPr>
            <w:tblGrid>
              <w:gridCol w:w="7920"/>
            </w:tblGrid>
            <w:tr>
              <w:tc>
                <w:tcPr/>
                <w:bookmarkStart w:id="110" w:name="fig-netvol-2"/>
                <w:p>
                  <w:pPr>
                    <w:pStyle w:val="Figure"/>
                    <w:jc w:val="center"/>
                    <w:jc w:val="center"/>
                  </w:pPr>
                  <w:r>
                    <w:drawing>
                      <wp:inline>
                        <wp:extent cx="4620126" cy="3696101"/>
                        <wp:effectExtent b="0" l="0" r="0" t="0"/>
                        <wp:docPr descr="" title="" id="108" name="Picture"/>
                        <a:graphic>
                          <a:graphicData uri="http://schemas.openxmlformats.org/drawingml/2006/picture">
                            <pic:pic>
                              <pic:nvPicPr>
                                <pic:cNvPr descr="word_files/figure-docx/fig-netvol-2.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5th%ile</w:t>
                  </w:r>
                </w:p>
                <w:bookmarkEnd w:id="110"/>
              </w:tc>
            </w:tr>
          </w:tbl>
          <w:tbl>
            <w:tblPr>
              <w:tblStyle w:val="Table"/>
              <w:tblW w:type="pct" w:w="5000"/>
              <w:tblLook w:firstRow="0" w:lastRow="0" w:firstColumn="0" w:lastColumn="0" w:noHBand="0" w:noVBand="0" w:val="0000"/>
            </w:tblPr>
            <w:tblGrid>
              <w:gridCol w:w="7920"/>
            </w:tblGrid>
            <w:tr>
              <w:tc>
                <w:tcPr/>
                <w:bookmarkStart w:id="114" w:name="fig-netvol-3"/>
                <w:p>
                  <w:pPr>
                    <w:pStyle w:val="Figure"/>
                    <w:jc w:val="center"/>
                    <w:jc w:val="center"/>
                  </w:pPr>
                  <w:r>
                    <w:drawing>
                      <wp:inline>
                        <wp:extent cx="4620126" cy="3696101"/>
                        <wp:effectExtent b="0" l="0" r="0" t="0"/>
                        <wp:docPr descr="" title="" id="112" name="Picture"/>
                        <a:graphic>
                          <a:graphicData uri="http://schemas.openxmlformats.org/drawingml/2006/picture">
                            <pic:pic>
                              <pic:nvPicPr>
                                <pic:cNvPr descr="word_files/figure-docx/fig-netvol-3.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95th%ile</w:t>
                  </w:r>
                </w:p>
                <w:bookmarkEnd w:id="114"/>
              </w:tc>
            </w:tr>
          </w:tbl>
          <w:p>
            <w:pPr>
              <w:jc w:val="center"/>
            </w:pPr>
            <w:pPr>
              <w:jc w:val="start"/>
              <w:spacing w:before="200"/>
              <w:pStyle w:val="ImageCaption"/>
            </w:pPr>
            <w:r>
              <w:t xml:space="preserve">Figure 13: Net spillover for individual stock volatility</w:t>
            </w:r>
          </w:p>
          <w:bookmarkEnd w:id="115"/>
        </w:tc>
      </w:tr>
    </w:tbl>
    <w:p>
      <w:pPr>
        <w:pStyle w:val="BodyText"/>
      </w:pPr>
      <w:r>
        <w:t xml:space="preserve">We group these plots by country and some interesting patterns emerge. Firstly, at the median of distributions, the three chinese defence stocks are net spillover recievers in both their financial performance and volatility. This may be indicative of their lack of global maturity in these stocks compare to the other members of the system. Secondly, the US defence stocks, which dominate the sample, are overall net transmitters of both volatility and return spillover effects. More precisely, in normal periods (median of the conditional distribution), Raytheon Technologies and General Dynamics are dominant net transmitters. This pattern also replicates in the extremes of the conditional distributions. While this is unsurprising give Raytheon Technologies are the largest global defence stock; General Dynamics is the 6th largest.</w:t>
      </w:r>
      <w:r>
        <w:t xml:space="preserve"> </w:t>
      </w:r>
      <w:r>
        <w:t xml:space="preserve"> </w:t>
      </w:r>
      <w:r>
        <w:t xml:space="preserve">Compared to the system of returns, the system of volatilities shows much more time variation, perhaps indicative of the high sensitivity to market fluctuations of financial risk.</w:t>
      </w:r>
      <w:r>
        <w:t xml:space="preserve"> </w:t>
      </w:r>
    </w:p>
    <w:p>
      <w:pPr>
        <w:pStyle w:val="BodyText"/>
      </w:pPr>
      <w:r>
        <w:t xml:space="preserve">Take a close look at the prominent dates graphed in</w:t>
      </w:r>
      <w:r>
        <w:t xml:space="preserve"> </w:t>
      </w:r>
      <w:hyperlink w:anchor="fig-netrtn">
        <w:r>
          <w:rPr>
            <w:rStyle w:val="Hyperlink"/>
          </w:rPr>
          <w:t xml:space="preserve">Figure 12</w:t>
        </w:r>
      </w:hyperlink>
      <w:r>
        <w:t xml:space="preserve"> </w:t>
      </w:r>
      <w:r>
        <w:t xml:space="preserve">and</w:t>
      </w:r>
      <w:r>
        <w:t xml:space="preserve"> </w:t>
      </w:r>
      <w:hyperlink w:anchor="fig-netvol">
        <w:r>
          <w:rPr>
            <w:rStyle w:val="Hyperlink"/>
          </w:rPr>
          <w:t xml:space="preserve">Figure 13</w:t>
        </w:r>
      </w:hyperlink>
      <w:r>
        <w:t xml:space="preserve">, there are notable positive spikes at the start of the COVID-19 pandemic the largest appearing in the median of the conditional distribution of the volatility system. The largest of these are in Raytheon Technologies and Howmet Aerospace, who both spike at over 200 in net transmission terms. Within the US stocks, Rayton and General Dynamics are the most transmitive in both their median and extreme spillover effects. Finally, in terms of magnitude, Singapore technology engineering, are the largest reciever of spillover effects at both the median and the extremes which is not surprising given their market capitalisaiton compared to the others ( see</w:t>
      </w:r>
      <w:r>
        <w:t xml:space="preserve"> </w:t>
      </w:r>
      <w:hyperlink w:anchor="tbl-mktcap">
        <w:r>
          <w:rPr>
            <w:rStyle w:val="Hyperlink"/>
          </w:rPr>
          <w:t xml:space="preserve">Table 2</w:t>
        </w:r>
      </w:hyperlink>
      <w:r>
        <w:t xml:space="preserve"> </w:t>
      </w:r>
      <w:r>
        <w:t xml:space="preserve">for details of size of stocks).</w:t>
      </w:r>
    </w:p>
    <w:bookmarkEnd w:id="116"/>
    <w:bookmarkEnd w:id="117"/>
    <w:bookmarkEnd w:id="118"/>
    <w:bookmarkStart w:id="119" w:name="conclusion"/>
    <w:p>
      <w:pPr>
        <w:pStyle w:val="Heading1"/>
      </w:pPr>
      <w:r>
        <w:t xml:space="preserve">5. Conclusion</w:t>
      </w:r>
    </w:p>
    <w:p>
      <w:pPr>
        <w:pStyle w:val="FirstParagraph"/>
      </w:pPr>
      <w:r>
        <w:t xml:space="preserve">Our study considers connectedness of sample of the leading defence and aerospace stocks in normal and extreme market periods. Using quantile-based VAR models we explore the middle, lower, and upper parts of the conditional distribution of both financial returns and volatility.</w:t>
      </w:r>
    </w:p>
    <w:p>
      <w:pPr>
        <w:pStyle w:val="BodyText"/>
      </w:pPr>
      <w:r>
        <w:t xml:space="preserve">The main results show evidence of variation in the quantile structure of the system of connectedness among leading aerospace and defence stocks. Our network topology analysis reveal that shocks propagate more strongly at both tails of the conditional distribution than at the conditional median. The structure of spillovers at both upper and lower tails is dissimilar to that seen at the conditional median. In the tails, we see the magnitude of bilateral connects are smaller but there are many more of them. In the latter, connectedness is stronger within countries but the volatility and return systems are less connected overall. Take together, these results suggest that the evolution of the dependence structure at tails is masked when connectedness measures are estimated at the conditional median. Accordingly, applying quantile-based models of connectedness is recommended as a natural extension to the pervasive average-based models of connectedness.</w:t>
      </w:r>
    </w:p>
    <w:p>
      <w:pPr>
        <w:pStyle w:val="BodyText"/>
      </w:pPr>
      <w:r>
        <w:t xml:space="preserve">The application of a time-varying analysis shows that the degree of tail-dependence varies with time and intensifies during periods of economic and conflict turmoil. In fact, lower tail dependence is positively correlated with upper tail dependence, suggesting that extreme negative events are associated with an increase in stabilizing lower-tail connectedness coupled with a concurrent increase in destabilizing upper-tail connectedness. Furthermore, we uncover evidence of asymmetry between the behaviour of volatility spillovers in lower quantiles and upper quantiles. The findings on extreme connectedness measures in upper and lower tails offer a nuanced view of the importance of tail risk propagation within the network system of defence stocks. They point to the necessity to use the above quantile-based method as part of prudential regulatory and surveillance mechanisms.</w:t>
      </w:r>
    </w:p>
    <w:p>
      <w:pPr>
        <w:pStyle w:val="BodyText"/>
      </w:pPr>
      <w:r>
        <w:t xml:space="preserve">By extending our knowledge regarding the effects of the size and sign of the spillovers on the system of connectedness among leading defence stocks, policymakers can use appropriate policy tools and surveillance mechanisms to manage potential adversative impacts occurring from extreme risk spillovers in the defence and aerospace market. Otherwise, a focus only on the average shocks within the system of connectedness is likely to lead to the formulation and application of inappropriate and insufficient stabilizing policies during extreme events.</w:t>
      </w:r>
    </w:p>
    <w:bookmarkEnd w:id="119"/>
    <w:bookmarkStart w:id="121" w:name="references"/>
    <w:p>
      <w:pPr>
        <w:pStyle w:val="Heading1"/>
      </w:pPr>
      <w:r>
        <w:t xml:space="preserve">6. References</w:t>
      </w:r>
    </w:p>
    <w:p>
      <w:pPr>
        <w:pStyle w:val="FirstParagraph"/>
      </w:pPr>
      <w:r>
        <w:t xml:space="preserve">Ando, T., Greenwood-Nimmo, M., &amp; Shin, Y. (2022). Quantile Connectedness: Modeling Tail Behavior in the Topology of Financial Networks. Management Science, 68(4),</w:t>
      </w:r>
      <w:r>
        <w:t xml:space="preserve"> </w:t>
      </w:r>
      <w:hyperlink r:id="rId120">
        <w:r>
          <w:rPr>
            <w:rStyle w:val="Hyperlink"/>
          </w:rPr>
          <w:t xml:space="preserve">2401-2431</w:t>
        </w:r>
      </w:hyperlink>
      <w:r>
        <w:t xml:space="preserve">.</w:t>
      </w:r>
    </w:p>
    <w:p>
      <w:pPr>
        <w:pStyle w:val="BodyText"/>
      </w:pPr>
      <w:r>
        <w:t xml:space="preserve">Bouri, E., Lucey B., Saeed, T., &amp; Vo X.V. (2020). Extreme spillovers across Asian-Pacific currencies: A quantile-based analysis. International Review of Financial Analysis, 72, 101605.</w:t>
      </w:r>
    </w:p>
    <w:p>
      <w:pPr>
        <w:pStyle w:val="BodyText"/>
      </w:pPr>
      <w:r>
        <w:t xml:space="preserve">Chatziantoniou, I., Gabauer, D., &amp; Stenfors, A. (2021). Interest rate swaps and the transmission mechanism of monetary policy: A quantile connectedness approach. Economics Letters, 204, 109891.</w:t>
      </w:r>
    </w:p>
    <w:p>
      <w:pPr>
        <w:pStyle w:val="BodyText"/>
      </w:pPr>
      <w:r>
        <w:t xml:space="preserve">Diebold, F. X., &amp; Yılmaz, K. (2014). On the network topology of variance decompositions: Measuring the connectedness of financial firms. Journal of Econometrics, 182(1), 119-134.</w:t>
      </w:r>
    </w:p>
    <w:p>
      <w:pPr>
        <w:pStyle w:val="BodyText"/>
      </w:pPr>
      <w:r>
        <w:t xml:space="preserve">Federle, J., Meier, A., Müller, G.J. and Sehn, V., 2022. Proximity to War: The stock market response to the Russian invasion of Ukraine.</w:t>
      </w:r>
    </w:p>
    <w:p>
      <w:pPr>
        <w:pStyle w:val="BodyText"/>
      </w:pPr>
      <w:r>
        <w:t xml:space="preserve">Koenker, R. (2005). Quantile Regression (Econometric Society Monographs). Cambridge University Press. Cambridge, UK. https://doi.org/10.1017/CBO9780511754098.</w:t>
      </w:r>
    </w:p>
    <w:p>
      <w:pPr>
        <w:pStyle w:val="BodyText"/>
      </w:pPr>
      <w:r>
        <w:t xml:space="preserve">McDonald, J.E. and Kendall, W.R., (1994). Measuring the economic effects of political events: War and the US defence industry. Journal of Applied Business Research (JABR), 10(1), pp.57-61.</w:t>
      </w:r>
    </w:p>
    <w:p>
      <w:pPr>
        <w:pStyle w:val="BodyText"/>
      </w:pPr>
      <w:r>
        <w:t xml:space="preserve">Saeed, T., Bouri, E., &amp; Alsulami, H. (2021). Extreme return connectedness and its determinants between clean/green and dirty energy investments. Energy Economics, 96, 105017.</w:t>
      </w:r>
    </w:p>
    <w:bookmarkEnd w:id="121"/>
    <w:bookmarkStart w:id="137" w:name="appendix"/>
    <w:p>
      <w:pPr>
        <w:pStyle w:val="Heading1"/>
      </w:pPr>
      <w:r>
        <w:t xml:space="preserve">7. Appendix</w:t>
      </w:r>
    </w:p>
    <w:p>
      <w:pPr>
        <w:pStyle w:val="TableCaption"/>
      </w:pPr>
      <w:r>
        <w:t xml:space="preserve">Table A1. Stationary testing of return series</w:t>
      </w:r>
    </w:p>
    <w:tbl>
      <w:tblPr>
        <w:tblStyle w:val="Table"/>
        <w:tblW w:type="pct" w:w="5000"/>
        <w:tblLook w:firstRow="1" w:lastRow="0" w:firstColumn="0" w:lastColumn="0" w:noHBand="0" w:noVBand="0" w:val="0020"/>
        <w:tblCaption w:val="Table A1. Stationary testing of return series"/>
      </w:tblPr>
      <w:tblGrid>
        <w:gridCol w:w="2140"/>
        <w:gridCol w:w="1926"/>
        <w:gridCol w:w="1926"/>
        <w:gridCol w:w="1926"/>
      </w:tblGrid>
      <w:tr>
        <w:trPr>
          <w:tblHeader w:val="true"/>
        </w:trPr>
        <w:tc>
          <w:tcPr/>
          <w:p>
            <w:pPr>
              <w:pStyle w:val="Compact"/>
            </w:pPr>
          </w:p>
        </w:tc>
        <w:tc>
          <w:tcPr/>
          <w:p>
            <w:pPr>
              <w:pStyle w:val="Compact"/>
              <w:jc w:val="left"/>
            </w:pPr>
            <w:r>
              <w:t xml:space="preserve">Jarque-Bera</w:t>
            </w:r>
          </w:p>
        </w:tc>
        <w:tc>
          <w:tcPr/>
          <w:p>
            <w:pPr>
              <w:pStyle w:val="Compact"/>
              <w:jc w:val="left"/>
            </w:pPr>
            <w:r>
              <w:t xml:space="preserve">ADF</w:t>
            </w:r>
          </w:p>
        </w:tc>
        <w:tc>
          <w:tcPr/>
          <w:p>
            <w:pPr>
              <w:pStyle w:val="Compact"/>
              <w:jc w:val="left"/>
            </w:pPr>
            <w:r>
              <w:t xml:space="preserve">PP</w:t>
            </w:r>
          </w:p>
        </w:tc>
      </w:tr>
      <w:tr>
        <w:tc>
          <w:tcPr/>
          <w:p>
            <w:pPr>
              <w:pStyle w:val="Compact"/>
              <w:jc w:val="left"/>
            </w:pPr>
            <w:r>
              <w:t xml:space="preserve">RAYTHEON_TECHNOLOGIES</w:t>
            </w:r>
          </w:p>
        </w:tc>
        <w:tc>
          <w:tcPr/>
          <w:p>
            <w:pPr>
              <w:pStyle w:val="Compact"/>
              <w:jc w:val="left"/>
            </w:pPr>
            <w:r>
              <w:t xml:space="preserve">32636.5***</w:t>
            </w:r>
          </w:p>
        </w:tc>
        <w:tc>
          <w:tcPr/>
          <w:p>
            <w:pPr>
              <w:pStyle w:val="Compact"/>
              <w:jc w:val="left"/>
            </w:pPr>
            <w:r>
              <w:t xml:space="preserve">-21.2901***</w:t>
            </w:r>
          </w:p>
        </w:tc>
        <w:tc>
          <w:tcPr/>
          <w:p>
            <w:pPr>
              <w:pStyle w:val="Compact"/>
              <w:jc w:val="left"/>
            </w:pPr>
            <w:r>
              <w:t xml:space="preserve">-56.4338***</w:t>
            </w:r>
          </w:p>
        </w:tc>
      </w:tr>
      <w:tr>
        <w:tc>
          <w:tcPr/>
          <w:p>
            <w:pPr>
              <w:pStyle w:val="Compact"/>
              <w:jc w:val="left"/>
            </w:pPr>
            <w:r>
              <w:t xml:space="preserve">LOCKHEED_MARTIN</w:t>
            </w:r>
          </w:p>
        </w:tc>
        <w:tc>
          <w:tcPr/>
          <w:p>
            <w:pPr>
              <w:pStyle w:val="Compact"/>
              <w:jc w:val="left"/>
            </w:pPr>
            <w:r>
              <w:t xml:space="preserve">30248.2***</w:t>
            </w:r>
          </w:p>
        </w:tc>
        <w:tc>
          <w:tcPr/>
          <w:p>
            <w:pPr>
              <w:pStyle w:val="Compact"/>
              <w:jc w:val="left"/>
            </w:pPr>
            <w:r>
              <w:t xml:space="preserve">-56.5766***</w:t>
            </w:r>
          </w:p>
        </w:tc>
        <w:tc>
          <w:tcPr/>
          <w:p>
            <w:pPr>
              <w:pStyle w:val="Compact"/>
              <w:jc w:val="left"/>
            </w:pPr>
            <w:r>
              <w:t xml:space="preserve">-56.7477***</w:t>
            </w:r>
          </w:p>
        </w:tc>
      </w:tr>
      <w:tr>
        <w:tc>
          <w:tcPr/>
          <w:p>
            <w:pPr>
              <w:pStyle w:val="Compact"/>
              <w:jc w:val="left"/>
            </w:pPr>
            <w:r>
              <w:t xml:space="preserve">BOEING</w:t>
            </w:r>
          </w:p>
        </w:tc>
        <w:tc>
          <w:tcPr/>
          <w:p>
            <w:pPr>
              <w:pStyle w:val="Compact"/>
              <w:jc w:val="left"/>
            </w:pPr>
            <w:r>
              <w:t xml:space="preserve">69973.9***</w:t>
            </w:r>
          </w:p>
        </w:tc>
        <w:tc>
          <w:tcPr/>
          <w:p>
            <w:pPr>
              <w:pStyle w:val="Compact"/>
              <w:jc w:val="left"/>
            </w:pPr>
            <w:r>
              <w:t xml:space="preserve">-18.1156***</w:t>
            </w:r>
          </w:p>
        </w:tc>
        <w:tc>
          <w:tcPr/>
          <w:p>
            <w:pPr>
              <w:pStyle w:val="Compact"/>
              <w:jc w:val="left"/>
            </w:pPr>
            <w:r>
              <w:t xml:space="preserve">-52.3339***</w:t>
            </w:r>
          </w:p>
        </w:tc>
      </w:tr>
      <w:tr>
        <w:tc>
          <w:tcPr/>
          <w:p>
            <w:pPr>
              <w:pStyle w:val="Compact"/>
              <w:jc w:val="left"/>
            </w:pPr>
            <w:r>
              <w:t xml:space="preserve">AIRBUS</w:t>
            </w:r>
          </w:p>
        </w:tc>
        <w:tc>
          <w:tcPr/>
          <w:p>
            <w:pPr>
              <w:pStyle w:val="Compact"/>
              <w:jc w:val="left"/>
            </w:pPr>
            <w:r>
              <w:t xml:space="preserve">25224.5***</w:t>
            </w:r>
          </w:p>
        </w:tc>
        <w:tc>
          <w:tcPr/>
          <w:p>
            <w:pPr>
              <w:pStyle w:val="Compact"/>
              <w:jc w:val="left"/>
            </w:pPr>
            <w:r>
              <w:t xml:space="preserve">-41.3354***</w:t>
            </w:r>
          </w:p>
        </w:tc>
        <w:tc>
          <w:tcPr/>
          <w:p>
            <w:pPr>
              <w:pStyle w:val="Compact"/>
              <w:jc w:val="left"/>
            </w:pPr>
            <w:r>
              <w:t xml:space="preserve">-53.1875***</w:t>
            </w:r>
          </w:p>
        </w:tc>
      </w:tr>
      <w:tr>
        <w:tc>
          <w:tcPr/>
          <w:p>
            <w:pPr>
              <w:pStyle w:val="Compact"/>
              <w:jc w:val="left"/>
            </w:pPr>
            <w:r>
              <w:t xml:space="preserve">NORTHROP_GRUMMAN</w:t>
            </w:r>
          </w:p>
        </w:tc>
        <w:tc>
          <w:tcPr/>
          <w:p>
            <w:pPr>
              <w:pStyle w:val="Compact"/>
              <w:jc w:val="left"/>
            </w:pPr>
            <w:r>
              <w:t xml:space="preserve">7974.9***</w:t>
            </w:r>
          </w:p>
        </w:tc>
        <w:tc>
          <w:tcPr/>
          <w:p>
            <w:pPr>
              <w:pStyle w:val="Compact"/>
              <w:jc w:val="left"/>
            </w:pPr>
            <w:r>
              <w:t xml:space="preserve">-57.6092***</w:t>
            </w:r>
          </w:p>
        </w:tc>
        <w:tc>
          <w:tcPr/>
          <w:p>
            <w:pPr>
              <w:pStyle w:val="Compact"/>
              <w:jc w:val="left"/>
            </w:pPr>
            <w:r>
              <w:t xml:space="preserve">-57.9145***</w:t>
            </w:r>
          </w:p>
        </w:tc>
      </w:tr>
      <w:tr>
        <w:tc>
          <w:tcPr/>
          <w:p>
            <w:pPr>
              <w:pStyle w:val="Compact"/>
              <w:jc w:val="left"/>
            </w:pPr>
            <w:r>
              <w:t xml:space="preserve">GENERAL_DYNAMICS</w:t>
            </w:r>
          </w:p>
        </w:tc>
        <w:tc>
          <w:tcPr/>
          <w:p>
            <w:pPr>
              <w:pStyle w:val="Compact"/>
              <w:jc w:val="left"/>
            </w:pPr>
            <w:r>
              <w:t xml:space="preserve">5069.4***</w:t>
            </w:r>
          </w:p>
        </w:tc>
        <w:tc>
          <w:tcPr/>
          <w:p>
            <w:pPr>
              <w:pStyle w:val="Compact"/>
              <w:jc w:val="left"/>
            </w:pPr>
            <w:r>
              <w:t xml:space="preserve">-56.0303***</w:t>
            </w:r>
          </w:p>
        </w:tc>
        <w:tc>
          <w:tcPr/>
          <w:p>
            <w:pPr>
              <w:pStyle w:val="Compact"/>
              <w:jc w:val="left"/>
            </w:pPr>
            <w:r>
              <w:t xml:space="preserve">-56.0601***</w:t>
            </w:r>
          </w:p>
        </w:tc>
      </w:tr>
      <w:tr>
        <w:tc>
          <w:tcPr/>
          <w:p>
            <w:pPr>
              <w:pStyle w:val="Compact"/>
              <w:jc w:val="left"/>
            </w:pPr>
            <w:r>
              <w:t xml:space="preserve">L3HARRIS_TECHNOLOGIES</w:t>
            </w:r>
          </w:p>
        </w:tc>
        <w:tc>
          <w:tcPr/>
          <w:p>
            <w:pPr>
              <w:pStyle w:val="Compact"/>
              <w:jc w:val="left"/>
            </w:pPr>
            <w:r>
              <w:t xml:space="preserve">13927.4***</w:t>
            </w:r>
          </w:p>
        </w:tc>
        <w:tc>
          <w:tcPr/>
          <w:p>
            <w:pPr>
              <w:pStyle w:val="Compact"/>
              <w:jc w:val="left"/>
            </w:pPr>
            <w:r>
              <w:t xml:space="preserve">-37.8971***</w:t>
            </w:r>
          </w:p>
        </w:tc>
        <w:tc>
          <w:tcPr/>
          <w:p>
            <w:pPr>
              <w:pStyle w:val="Compact"/>
              <w:jc w:val="left"/>
            </w:pPr>
            <w:r>
              <w:t xml:space="preserve">-58.3311***</w:t>
            </w:r>
          </w:p>
        </w:tc>
      </w:tr>
      <w:tr>
        <w:tc>
          <w:tcPr/>
          <w:p>
            <w:pPr>
              <w:pStyle w:val="Compact"/>
              <w:jc w:val="left"/>
            </w:pPr>
            <w:r>
              <w:t xml:space="preserve">SAFRAN</w:t>
            </w:r>
          </w:p>
        </w:tc>
        <w:tc>
          <w:tcPr/>
          <w:p>
            <w:pPr>
              <w:pStyle w:val="Compact"/>
              <w:jc w:val="left"/>
            </w:pPr>
            <w:r>
              <w:t xml:space="preserve">52968.0</w:t>
            </w:r>
          </w:p>
        </w:tc>
        <w:tc>
          <w:tcPr/>
          <w:p>
            <w:pPr>
              <w:pStyle w:val="Compact"/>
              <w:jc w:val="left"/>
            </w:pPr>
            <w:r>
              <w:t xml:space="preserve">-27.1859***</w:t>
            </w:r>
          </w:p>
        </w:tc>
        <w:tc>
          <w:tcPr/>
          <w:p>
            <w:pPr>
              <w:pStyle w:val="Compact"/>
              <w:jc w:val="left"/>
            </w:pPr>
            <w:r>
              <w:t xml:space="preserve">-54.0423***</w:t>
            </w:r>
          </w:p>
        </w:tc>
      </w:tr>
      <w:tr>
        <w:tc>
          <w:tcPr/>
          <w:p>
            <w:pPr>
              <w:pStyle w:val="Compact"/>
              <w:jc w:val="left"/>
            </w:pPr>
            <w:r>
              <w:t xml:space="preserve">TRANSDIGM_GROUP</w:t>
            </w:r>
          </w:p>
        </w:tc>
        <w:tc>
          <w:tcPr/>
          <w:p>
            <w:pPr>
              <w:pStyle w:val="Compact"/>
              <w:jc w:val="left"/>
            </w:pPr>
            <w:r>
              <w:t xml:space="preserve">73823.1</w:t>
            </w:r>
          </w:p>
        </w:tc>
        <w:tc>
          <w:tcPr/>
          <w:p>
            <w:pPr>
              <w:pStyle w:val="Compact"/>
              <w:jc w:val="left"/>
            </w:pPr>
            <w:r>
              <w:t xml:space="preserve">-27.2219***</w:t>
            </w:r>
          </w:p>
        </w:tc>
        <w:tc>
          <w:tcPr/>
          <w:p>
            <w:pPr>
              <w:pStyle w:val="Compact"/>
              <w:jc w:val="left"/>
            </w:pPr>
            <w:r>
              <w:t xml:space="preserve">-58.6233***</w:t>
            </w:r>
          </w:p>
        </w:tc>
      </w:tr>
      <w:tr>
        <w:tc>
          <w:tcPr/>
          <w:p>
            <w:pPr>
              <w:pStyle w:val="Compact"/>
              <w:jc w:val="left"/>
            </w:pPr>
            <w:r>
              <w:t xml:space="preserve">BAE_SYSTEMS</w:t>
            </w:r>
          </w:p>
        </w:tc>
        <w:tc>
          <w:tcPr/>
          <w:p>
            <w:pPr>
              <w:pStyle w:val="Compact"/>
              <w:jc w:val="left"/>
            </w:pPr>
            <w:r>
              <w:t xml:space="preserve">2985.9</w:t>
            </w:r>
          </w:p>
        </w:tc>
        <w:tc>
          <w:tcPr/>
          <w:p>
            <w:pPr>
              <w:pStyle w:val="Compact"/>
              <w:jc w:val="left"/>
            </w:pPr>
            <w:r>
              <w:t xml:space="preserve">-54.9012***</w:t>
            </w:r>
          </w:p>
        </w:tc>
        <w:tc>
          <w:tcPr/>
          <w:p>
            <w:pPr>
              <w:pStyle w:val="Compact"/>
              <w:jc w:val="left"/>
            </w:pPr>
            <w:r>
              <w:t xml:space="preserve">-54.8972***</w:t>
            </w:r>
          </w:p>
        </w:tc>
      </w:tr>
      <w:tr>
        <w:tc>
          <w:tcPr/>
          <w:p>
            <w:pPr>
              <w:pStyle w:val="Compact"/>
              <w:jc w:val="left"/>
            </w:pPr>
            <w:r>
              <w:t xml:space="preserve">THALES</w:t>
            </w:r>
          </w:p>
        </w:tc>
        <w:tc>
          <w:tcPr/>
          <w:p>
            <w:pPr>
              <w:pStyle w:val="Compact"/>
              <w:jc w:val="left"/>
            </w:pPr>
            <w:r>
              <w:t xml:space="preserve">7219.4</w:t>
            </w:r>
          </w:p>
        </w:tc>
        <w:tc>
          <w:tcPr/>
          <w:p>
            <w:pPr>
              <w:pStyle w:val="Compact"/>
              <w:jc w:val="left"/>
            </w:pPr>
            <w:r>
              <w:t xml:space="preserve">-52.8929***</w:t>
            </w:r>
          </w:p>
        </w:tc>
        <w:tc>
          <w:tcPr/>
          <w:p>
            <w:pPr>
              <w:pStyle w:val="Compact"/>
              <w:jc w:val="left"/>
            </w:pPr>
            <w:r>
              <w:t xml:space="preserve">-52.8478***</w:t>
            </w:r>
          </w:p>
        </w:tc>
      </w:tr>
      <w:tr>
        <w:tc>
          <w:tcPr/>
          <w:p>
            <w:pPr>
              <w:pStyle w:val="Compact"/>
              <w:jc w:val="left"/>
            </w:pPr>
            <w:r>
              <w:t xml:space="preserve">AECC_AVIATION_POWER__A_</w:t>
            </w:r>
          </w:p>
        </w:tc>
        <w:tc>
          <w:tcPr/>
          <w:p>
            <w:pPr>
              <w:pStyle w:val="Compact"/>
              <w:jc w:val="left"/>
            </w:pPr>
            <w:r>
              <w:t xml:space="preserve">1434.8</w:t>
            </w:r>
          </w:p>
        </w:tc>
        <w:tc>
          <w:tcPr/>
          <w:p>
            <w:pPr>
              <w:pStyle w:val="Compact"/>
              <w:jc w:val="left"/>
            </w:pPr>
            <w:r>
              <w:t xml:space="preserve">-50.3413***</w:t>
            </w:r>
          </w:p>
        </w:tc>
        <w:tc>
          <w:tcPr/>
          <w:p>
            <w:pPr>
              <w:pStyle w:val="Compact"/>
              <w:jc w:val="left"/>
            </w:pPr>
            <w:r>
              <w:t xml:space="preserve">-50.2565***</w:t>
            </w:r>
          </w:p>
        </w:tc>
      </w:tr>
      <w:tr>
        <w:tc>
          <w:tcPr/>
          <w:p>
            <w:pPr>
              <w:pStyle w:val="Compact"/>
              <w:jc w:val="left"/>
            </w:pPr>
            <w:r>
              <w:t xml:space="preserve">HEICO</w:t>
            </w:r>
          </w:p>
        </w:tc>
        <w:tc>
          <w:tcPr/>
          <w:p>
            <w:pPr>
              <w:pStyle w:val="Compact"/>
              <w:jc w:val="left"/>
            </w:pPr>
            <w:r>
              <w:t xml:space="preserve">8582.7</w:t>
            </w:r>
          </w:p>
        </w:tc>
        <w:tc>
          <w:tcPr/>
          <w:p>
            <w:pPr>
              <w:pStyle w:val="Compact"/>
              <w:jc w:val="left"/>
            </w:pPr>
            <w:r>
              <w:t xml:space="preserve">-37.9681***</w:t>
            </w:r>
          </w:p>
        </w:tc>
        <w:tc>
          <w:tcPr/>
          <w:p>
            <w:pPr>
              <w:pStyle w:val="Compact"/>
              <w:jc w:val="left"/>
            </w:pPr>
            <w:r>
              <w:t xml:space="preserve">-57.4079***</w:t>
            </w:r>
          </w:p>
        </w:tc>
      </w:tr>
      <w:tr>
        <w:tc>
          <w:tcPr/>
          <w:p>
            <w:pPr>
              <w:pStyle w:val="Compact"/>
              <w:jc w:val="left"/>
            </w:pPr>
            <w:r>
              <w:t xml:space="preserve">AVIC_SHENYANG_AIRCRAFT__A_</w:t>
            </w:r>
          </w:p>
        </w:tc>
        <w:tc>
          <w:tcPr/>
          <w:p>
            <w:pPr>
              <w:pStyle w:val="Compact"/>
              <w:jc w:val="left"/>
            </w:pPr>
            <w:r>
              <w:t xml:space="preserve">697.9</w:t>
            </w:r>
          </w:p>
        </w:tc>
        <w:tc>
          <w:tcPr/>
          <w:p>
            <w:pPr>
              <w:pStyle w:val="Compact"/>
              <w:jc w:val="left"/>
            </w:pPr>
            <w:r>
              <w:t xml:space="preserve">-50.4755***</w:t>
            </w:r>
          </w:p>
        </w:tc>
        <w:tc>
          <w:tcPr/>
          <w:p>
            <w:pPr>
              <w:pStyle w:val="Compact"/>
              <w:jc w:val="left"/>
            </w:pPr>
            <w:r>
              <w:t xml:space="preserve">-50.432***</w:t>
            </w:r>
          </w:p>
        </w:tc>
      </w:tr>
      <w:tr>
        <w:tc>
          <w:tcPr/>
          <w:p>
            <w:pPr>
              <w:pStyle w:val="Compact"/>
              <w:jc w:val="left"/>
            </w:pPr>
            <w:r>
              <w:t xml:space="preserve">TEXTRON</w:t>
            </w:r>
          </w:p>
        </w:tc>
        <w:tc>
          <w:tcPr/>
          <w:p>
            <w:pPr>
              <w:pStyle w:val="Compact"/>
              <w:jc w:val="left"/>
            </w:pPr>
            <w:r>
              <w:t xml:space="preserve">13536.4</w:t>
            </w:r>
          </w:p>
        </w:tc>
        <w:tc>
          <w:tcPr/>
          <w:p>
            <w:pPr>
              <w:pStyle w:val="Compact"/>
              <w:jc w:val="left"/>
            </w:pPr>
            <w:r>
              <w:t xml:space="preserve">-56.7672***</w:t>
            </w:r>
          </w:p>
        </w:tc>
        <w:tc>
          <w:tcPr/>
          <w:p>
            <w:pPr>
              <w:pStyle w:val="Compact"/>
              <w:jc w:val="left"/>
            </w:pPr>
            <w:r>
              <w:t xml:space="preserve">-56.7572***</w:t>
            </w:r>
          </w:p>
        </w:tc>
      </w:tr>
      <w:tr>
        <w:tc>
          <w:tcPr/>
          <w:p>
            <w:pPr>
              <w:pStyle w:val="Compact"/>
              <w:jc w:val="left"/>
            </w:pPr>
            <w:r>
              <w:t xml:space="preserve">HOWMET_AEROSPACE</w:t>
            </w:r>
          </w:p>
        </w:tc>
        <w:tc>
          <w:tcPr/>
          <w:p>
            <w:pPr>
              <w:pStyle w:val="Compact"/>
              <w:jc w:val="left"/>
            </w:pPr>
            <w:r>
              <w:t xml:space="preserve">14968.7</w:t>
            </w:r>
          </w:p>
        </w:tc>
        <w:tc>
          <w:tcPr/>
          <w:p>
            <w:pPr>
              <w:pStyle w:val="Compact"/>
              <w:jc w:val="left"/>
            </w:pPr>
            <w:r>
              <w:t xml:space="preserve">-55.6534***</w:t>
            </w:r>
          </w:p>
        </w:tc>
        <w:tc>
          <w:tcPr/>
          <w:p>
            <w:pPr>
              <w:pStyle w:val="Compact"/>
              <w:jc w:val="left"/>
            </w:pPr>
            <w:r>
              <w:t xml:space="preserve">-55.6534***</w:t>
            </w:r>
          </w:p>
        </w:tc>
      </w:tr>
      <w:tr>
        <w:tc>
          <w:tcPr/>
          <w:p>
            <w:pPr>
              <w:pStyle w:val="Compact"/>
              <w:jc w:val="left"/>
            </w:pPr>
            <w:r>
              <w:t xml:space="preserve">AVIC_XI_AN_AIRCRAFT_INDUSTRY_GROUP__A_</w:t>
            </w:r>
          </w:p>
        </w:tc>
        <w:tc>
          <w:tcPr/>
          <w:p>
            <w:pPr>
              <w:pStyle w:val="Compact"/>
              <w:jc w:val="left"/>
            </w:pPr>
            <w:r>
              <w:t xml:space="preserve">1320.5</w:t>
            </w:r>
          </w:p>
        </w:tc>
        <w:tc>
          <w:tcPr/>
          <w:p>
            <w:pPr>
              <w:pStyle w:val="Compact"/>
              <w:jc w:val="left"/>
            </w:pPr>
            <w:r>
              <w:t xml:space="preserve">-51.6737***</w:t>
            </w:r>
          </w:p>
        </w:tc>
        <w:tc>
          <w:tcPr/>
          <w:p>
            <w:pPr>
              <w:pStyle w:val="Compact"/>
              <w:jc w:val="left"/>
            </w:pPr>
            <w:r>
              <w:t xml:space="preserve">-51.6765***</w:t>
            </w:r>
          </w:p>
        </w:tc>
      </w:tr>
      <w:tr>
        <w:tc>
          <w:tcPr/>
          <w:p>
            <w:pPr>
              <w:pStyle w:val="Compact"/>
              <w:jc w:val="left"/>
            </w:pPr>
            <w:r>
              <w:t xml:space="preserve">DASSAULT_AVIATION</w:t>
            </w:r>
          </w:p>
        </w:tc>
        <w:tc>
          <w:tcPr/>
          <w:p>
            <w:pPr>
              <w:pStyle w:val="Compact"/>
              <w:jc w:val="left"/>
            </w:pPr>
            <w:r>
              <w:t xml:space="preserve">7293.6</w:t>
            </w:r>
          </w:p>
        </w:tc>
        <w:tc>
          <w:tcPr/>
          <w:p>
            <w:pPr>
              <w:pStyle w:val="Compact"/>
              <w:jc w:val="left"/>
            </w:pPr>
            <w:r>
              <w:t xml:space="preserve">-59.0881***</w:t>
            </w:r>
          </w:p>
        </w:tc>
        <w:tc>
          <w:tcPr/>
          <w:p>
            <w:pPr>
              <w:pStyle w:val="Compact"/>
              <w:jc w:val="left"/>
            </w:pPr>
            <w:r>
              <w:t xml:space="preserve">-59.3442***</w:t>
            </w:r>
          </w:p>
        </w:tc>
      </w:tr>
      <w:tr>
        <w:tc>
          <w:tcPr/>
          <w:p>
            <w:pPr>
              <w:pStyle w:val="Compact"/>
              <w:jc w:val="left"/>
            </w:pPr>
            <w:r>
              <w:t xml:space="preserve">MTU_AERO_ENGINES__XET__HLDG_</w:t>
            </w:r>
          </w:p>
        </w:tc>
        <w:tc>
          <w:tcPr/>
          <w:p>
            <w:pPr>
              <w:pStyle w:val="Compact"/>
              <w:jc w:val="left"/>
            </w:pPr>
            <w:r>
              <w:t xml:space="preserve">17643.4</w:t>
            </w:r>
          </w:p>
        </w:tc>
        <w:tc>
          <w:tcPr/>
          <w:p>
            <w:pPr>
              <w:pStyle w:val="Compact"/>
              <w:jc w:val="left"/>
            </w:pPr>
            <w:r>
              <w:t xml:space="preserve">-53.5665***</w:t>
            </w:r>
          </w:p>
        </w:tc>
        <w:tc>
          <w:tcPr/>
          <w:p>
            <w:pPr>
              <w:pStyle w:val="Compact"/>
              <w:jc w:val="left"/>
            </w:pPr>
            <w:r>
              <w:t xml:space="preserve">-53.5378***</w:t>
            </w:r>
          </w:p>
        </w:tc>
      </w:tr>
      <w:tr>
        <w:tc>
          <w:tcPr/>
          <w:p>
            <w:pPr>
              <w:pStyle w:val="Compact"/>
              <w:jc w:val="left"/>
            </w:pPr>
            <w:r>
              <w:t xml:space="preserve">ROLLS_ROYCE_HOLDINGS</w:t>
            </w:r>
          </w:p>
        </w:tc>
        <w:tc>
          <w:tcPr/>
          <w:p>
            <w:pPr>
              <w:pStyle w:val="Compact"/>
              <w:jc w:val="left"/>
            </w:pPr>
            <w:r>
              <w:t xml:space="preserve">66286.0</w:t>
            </w:r>
          </w:p>
        </w:tc>
        <w:tc>
          <w:tcPr/>
          <w:p>
            <w:pPr>
              <w:pStyle w:val="Compact"/>
              <w:jc w:val="left"/>
            </w:pPr>
            <w:r>
              <w:t xml:space="preserve">-42.2588***</w:t>
            </w:r>
          </w:p>
        </w:tc>
        <w:tc>
          <w:tcPr/>
          <w:p>
            <w:pPr>
              <w:pStyle w:val="Compact"/>
              <w:jc w:val="left"/>
            </w:pPr>
            <w:r>
              <w:t xml:space="preserve">-53.3912***</w:t>
            </w:r>
          </w:p>
        </w:tc>
      </w:tr>
      <w:tr>
        <w:tc>
          <w:tcPr/>
          <w:p>
            <w:pPr>
              <w:pStyle w:val="Compact"/>
              <w:jc w:val="left"/>
            </w:pPr>
            <w:r>
              <w:t xml:space="preserve">SINGAPORE_TECHS_ENGR_</w:t>
            </w:r>
          </w:p>
        </w:tc>
        <w:tc>
          <w:tcPr/>
          <w:p>
            <w:pPr>
              <w:pStyle w:val="Compact"/>
              <w:jc w:val="left"/>
            </w:pPr>
            <w:r>
              <w:t xml:space="preserve">5663.1</w:t>
            </w:r>
          </w:p>
        </w:tc>
        <w:tc>
          <w:tcPr/>
          <w:p>
            <w:pPr>
              <w:pStyle w:val="Compact"/>
              <w:jc w:val="left"/>
            </w:pPr>
            <w:r>
              <w:t xml:space="preserve">-58.7849***</w:t>
            </w:r>
          </w:p>
        </w:tc>
        <w:tc>
          <w:tcPr/>
          <w:p>
            <w:pPr>
              <w:pStyle w:val="Compact"/>
              <w:jc w:val="left"/>
            </w:pPr>
            <w:r>
              <w:t xml:space="preserve">-58.7819***</w:t>
            </w:r>
          </w:p>
        </w:tc>
      </w:tr>
    </w:tbl>
    <w:p>
      <w:pPr>
        <w:pStyle w:val="BodyText"/>
      </w:pPr>
      <w:r>
        <w:t xml:space="preserve">Notes: The sample period is 23 August 2010 – July 1, 2022, yielding 3095 daily return observations. ADF (Augmented Dickey-Fuller) and PP (Phillips-Perron) stationarity tests. They are conducted with a constant. The lag length is selected based on SIC. *** indicates statistical significance at the 1% level.</w:t>
      </w:r>
    </w:p>
    <w:bookmarkStart w:id="122" w:name="tbl-stationarity"/>
    <w:p>
      <w:pPr>
        <w:pStyle w:val="TableCaption"/>
      </w:pPr>
      <w:r>
        <w:t xml:space="preserve">Table 1: Stationarity analysis of volatility series</w:t>
      </w:r>
    </w:p>
    <w:tbl>
      <w:tblPr>
        <w:tblStyle w:val="Table"/>
        <w:tblW w:type="pct" w:w="5000"/>
        <w:tblLook w:firstRow="1" w:lastRow="0" w:firstColumn="0" w:lastColumn="0" w:noHBand="0" w:noVBand="0" w:val="0020"/>
        <w:tblCaption w:val="Table 1: Stationarity analysis of volatility series"/>
      </w:tblPr>
      <w:tblGrid>
        <w:gridCol w:w="2140"/>
        <w:gridCol w:w="1926"/>
        <w:gridCol w:w="1926"/>
        <w:gridCol w:w="1926"/>
      </w:tblGrid>
      <w:tr>
        <w:trPr>
          <w:tblHeader w:val="true"/>
        </w:trPr>
        <w:tc>
          <w:tcPr/>
          <w:p>
            <w:pPr>
              <w:pStyle w:val="Compact"/>
            </w:pPr>
          </w:p>
        </w:tc>
        <w:tc>
          <w:tcPr/>
          <w:p>
            <w:pPr>
              <w:pStyle w:val="Compact"/>
              <w:jc w:val="left"/>
            </w:pPr>
            <w:r>
              <w:t xml:space="preserve">Jarque-Bera</w:t>
            </w:r>
          </w:p>
        </w:tc>
        <w:tc>
          <w:tcPr/>
          <w:p>
            <w:pPr>
              <w:pStyle w:val="Compact"/>
              <w:jc w:val="left"/>
            </w:pPr>
            <w:r>
              <w:t xml:space="preserve">ADF</w:t>
            </w:r>
          </w:p>
        </w:tc>
        <w:tc>
          <w:tcPr/>
          <w:p>
            <w:pPr>
              <w:pStyle w:val="Compact"/>
              <w:jc w:val="left"/>
            </w:pPr>
            <w:r>
              <w:t xml:space="preserve">PP</w:t>
            </w:r>
          </w:p>
        </w:tc>
      </w:tr>
      <w:tr>
        <w:tc>
          <w:tcPr/>
          <w:p>
            <w:pPr>
              <w:pStyle w:val="Compact"/>
              <w:jc w:val="left"/>
            </w:pPr>
            <w:r>
              <w:t xml:space="preserve">RAYTHEON_TECHNOLOGIES</w:t>
            </w:r>
          </w:p>
        </w:tc>
        <w:tc>
          <w:tcPr/>
          <w:p>
            <w:pPr>
              <w:pStyle w:val="Compact"/>
              <w:jc w:val="left"/>
            </w:pPr>
            <w:r>
              <w:t xml:space="preserve">9315605</w:t>
            </w:r>
          </w:p>
        </w:tc>
        <w:tc>
          <w:tcPr/>
          <w:p>
            <w:pPr>
              <w:pStyle w:val="Compact"/>
              <w:jc w:val="left"/>
            </w:pPr>
            <w:r>
              <w:t xml:space="preserve">-8.8644***</w:t>
            </w:r>
          </w:p>
        </w:tc>
        <w:tc>
          <w:tcPr/>
          <w:p>
            <w:pPr>
              <w:pStyle w:val="Compact"/>
              <w:jc w:val="left"/>
            </w:pPr>
            <w:r>
              <w:t xml:space="preserve">-71.0605***</w:t>
            </w:r>
          </w:p>
        </w:tc>
      </w:tr>
      <w:tr>
        <w:tc>
          <w:tcPr/>
          <w:p>
            <w:pPr>
              <w:pStyle w:val="Compact"/>
              <w:jc w:val="left"/>
            </w:pPr>
            <w:r>
              <w:t xml:space="preserve">LOCKHEED_MARTIN</w:t>
            </w:r>
          </w:p>
        </w:tc>
        <w:tc>
          <w:tcPr/>
          <w:p>
            <w:pPr>
              <w:pStyle w:val="Compact"/>
              <w:jc w:val="left"/>
            </w:pPr>
            <w:r>
              <w:t xml:space="preserve">15682053</w:t>
            </w:r>
          </w:p>
        </w:tc>
        <w:tc>
          <w:tcPr/>
          <w:p>
            <w:pPr>
              <w:pStyle w:val="Compact"/>
              <w:jc w:val="left"/>
            </w:pPr>
            <w:r>
              <w:t xml:space="preserve">-10.8166***</w:t>
            </w:r>
          </w:p>
        </w:tc>
        <w:tc>
          <w:tcPr/>
          <w:p>
            <w:pPr>
              <w:pStyle w:val="Compact"/>
              <w:jc w:val="left"/>
            </w:pPr>
            <w:r>
              <w:t xml:space="preserve">-57.4850***</w:t>
            </w:r>
          </w:p>
        </w:tc>
      </w:tr>
      <w:tr>
        <w:tc>
          <w:tcPr/>
          <w:p>
            <w:pPr>
              <w:pStyle w:val="Compact"/>
              <w:jc w:val="left"/>
            </w:pPr>
            <w:r>
              <w:t xml:space="preserve">BOEING</w:t>
            </w:r>
          </w:p>
        </w:tc>
        <w:tc>
          <w:tcPr/>
          <w:p>
            <w:pPr>
              <w:pStyle w:val="Compact"/>
              <w:jc w:val="left"/>
            </w:pPr>
            <w:r>
              <w:t xml:space="preserve">14697726</w:t>
            </w:r>
          </w:p>
        </w:tc>
        <w:tc>
          <w:tcPr/>
          <w:p>
            <w:pPr>
              <w:pStyle w:val="Compact"/>
              <w:jc w:val="left"/>
            </w:pPr>
            <w:r>
              <w:t xml:space="preserve">-9.4739***</w:t>
            </w:r>
          </w:p>
        </w:tc>
        <w:tc>
          <w:tcPr/>
          <w:p>
            <w:pPr>
              <w:pStyle w:val="Compact"/>
              <w:jc w:val="left"/>
            </w:pPr>
            <w:r>
              <w:t xml:space="preserve">-59.9743***</w:t>
            </w:r>
          </w:p>
        </w:tc>
      </w:tr>
      <w:tr>
        <w:tc>
          <w:tcPr/>
          <w:p>
            <w:pPr>
              <w:pStyle w:val="Compact"/>
              <w:jc w:val="left"/>
            </w:pPr>
            <w:r>
              <w:t xml:space="preserve">AIRBUS</w:t>
            </w:r>
          </w:p>
        </w:tc>
        <w:tc>
          <w:tcPr/>
          <w:p>
            <w:pPr>
              <w:pStyle w:val="Compact"/>
              <w:jc w:val="left"/>
            </w:pPr>
            <w:r>
              <w:t xml:space="preserve">23033869</w:t>
            </w:r>
          </w:p>
        </w:tc>
        <w:tc>
          <w:tcPr/>
          <w:p>
            <w:pPr>
              <w:pStyle w:val="Compact"/>
              <w:jc w:val="left"/>
            </w:pPr>
            <w:r>
              <w:t xml:space="preserve">-11.5572***</w:t>
            </w:r>
          </w:p>
        </w:tc>
        <w:tc>
          <w:tcPr/>
          <w:p>
            <w:pPr>
              <w:pStyle w:val="Compact"/>
              <w:jc w:val="left"/>
            </w:pPr>
            <w:r>
              <w:t xml:space="preserve">-65.0529***</w:t>
            </w:r>
          </w:p>
        </w:tc>
      </w:tr>
      <w:tr>
        <w:tc>
          <w:tcPr/>
          <w:p>
            <w:pPr>
              <w:pStyle w:val="Compact"/>
              <w:jc w:val="left"/>
            </w:pPr>
            <w:r>
              <w:t xml:space="preserve">NORTHROP_GRUMMAN</w:t>
            </w:r>
          </w:p>
        </w:tc>
        <w:tc>
          <w:tcPr/>
          <w:p>
            <w:pPr>
              <w:pStyle w:val="Compact"/>
              <w:jc w:val="left"/>
            </w:pPr>
            <w:r>
              <w:t xml:space="preserve">4856762</w:t>
            </w:r>
          </w:p>
        </w:tc>
        <w:tc>
          <w:tcPr/>
          <w:p>
            <w:pPr>
              <w:pStyle w:val="Compact"/>
              <w:jc w:val="left"/>
            </w:pPr>
            <w:r>
              <w:t xml:space="preserve">-10.5620***</w:t>
            </w:r>
          </w:p>
        </w:tc>
        <w:tc>
          <w:tcPr/>
          <w:p>
            <w:pPr>
              <w:pStyle w:val="Compact"/>
              <w:jc w:val="left"/>
            </w:pPr>
            <w:r>
              <w:t xml:space="preserve">-55.0415***</w:t>
            </w:r>
          </w:p>
        </w:tc>
      </w:tr>
      <w:tr>
        <w:tc>
          <w:tcPr/>
          <w:p>
            <w:pPr>
              <w:pStyle w:val="Compact"/>
              <w:jc w:val="left"/>
            </w:pPr>
            <w:r>
              <w:t xml:space="preserve">GENERAL_DYNAMICS</w:t>
            </w:r>
          </w:p>
        </w:tc>
        <w:tc>
          <w:tcPr/>
          <w:p>
            <w:pPr>
              <w:pStyle w:val="Compact"/>
              <w:jc w:val="left"/>
            </w:pPr>
            <w:r>
              <w:t xml:space="preserve">4133764</w:t>
            </w:r>
          </w:p>
        </w:tc>
        <w:tc>
          <w:tcPr/>
          <w:p>
            <w:pPr>
              <w:pStyle w:val="Compact"/>
              <w:jc w:val="left"/>
            </w:pPr>
            <w:r>
              <w:t xml:space="preserve">-9.4617***</w:t>
            </w:r>
          </w:p>
        </w:tc>
        <w:tc>
          <w:tcPr/>
          <w:p>
            <w:pPr>
              <w:pStyle w:val="Compact"/>
              <w:jc w:val="left"/>
            </w:pPr>
            <w:r>
              <w:t xml:space="preserve">-64.1503***</w:t>
            </w:r>
          </w:p>
        </w:tc>
      </w:tr>
      <w:tr>
        <w:tc>
          <w:tcPr/>
          <w:p>
            <w:pPr>
              <w:pStyle w:val="Compact"/>
              <w:jc w:val="left"/>
            </w:pPr>
            <w:r>
              <w:t xml:space="preserve">L3HARRIS_TECHNOLOGIES</w:t>
            </w:r>
          </w:p>
        </w:tc>
        <w:tc>
          <w:tcPr/>
          <w:p>
            <w:pPr>
              <w:pStyle w:val="Compact"/>
              <w:jc w:val="left"/>
            </w:pPr>
            <w:r>
              <w:t xml:space="preserve">9512974</w:t>
            </w:r>
          </w:p>
        </w:tc>
        <w:tc>
          <w:tcPr/>
          <w:p>
            <w:pPr>
              <w:pStyle w:val="Compact"/>
              <w:jc w:val="left"/>
            </w:pPr>
            <w:r>
              <w:t xml:space="preserve">-11.8003***</w:t>
            </w:r>
          </w:p>
        </w:tc>
        <w:tc>
          <w:tcPr/>
          <w:p>
            <w:pPr>
              <w:pStyle w:val="Compact"/>
              <w:jc w:val="left"/>
            </w:pPr>
            <w:r>
              <w:t xml:space="preserve">-53.9115***</w:t>
            </w:r>
          </w:p>
        </w:tc>
      </w:tr>
      <w:tr>
        <w:tc>
          <w:tcPr/>
          <w:p>
            <w:pPr>
              <w:pStyle w:val="Compact"/>
              <w:jc w:val="left"/>
            </w:pPr>
            <w:r>
              <w:t xml:space="preserve">SAFRAN</w:t>
            </w:r>
          </w:p>
        </w:tc>
        <w:tc>
          <w:tcPr/>
          <w:p>
            <w:pPr>
              <w:pStyle w:val="Compact"/>
              <w:jc w:val="left"/>
            </w:pPr>
            <w:r>
              <w:t xml:space="preserve">31946613</w:t>
            </w:r>
          </w:p>
        </w:tc>
        <w:tc>
          <w:tcPr/>
          <w:p>
            <w:pPr>
              <w:pStyle w:val="Compact"/>
              <w:jc w:val="left"/>
            </w:pPr>
            <w:r>
              <w:t xml:space="preserve">-11.6048***</w:t>
            </w:r>
          </w:p>
        </w:tc>
        <w:tc>
          <w:tcPr/>
          <w:p>
            <w:pPr>
              <w:pStyle w:val="Compact"/>
              <w:jc w:val="left"/>
            </w:pPr>
            <w:r>
              <w:t xml:space="preserve">-62.0761***</w:t>
            </w:r>
          </w:p>
        </w:tc>
      </w:tr>
      <w:tr>
        <w:tc>
          <w:tcPr/>
          <w:p>
            <w:pPr>
              <w:pStyle w:val="Compact"/>
              <w:jc w:val="left"/>
            </w:pPr>
            <w:r>
              <w:t xml:space="preserve">TRANSDIGM_GROUP</w:t>
            </w:r>
          </w:p>
        </w:tc>
        <w:tc>
          <w:tcPr/>
          <w:p>
            <w:pPr>
              <w:pStyle w:val="Compact"/>
              <w:jc w:val="left"/>
            </w:pPr>
            <w:r>
              <w:t xml:space="preserve">18184391</w:t>
            </w:r>
          </w:p>
        </w:tc>
        <w:tc>
          <w:tcPr/>
          <w:p>
            <w:pPr>
              <w:pStyle w:val="Compact"/>
              <w:jc w:val="left"/>
            </w:pPr>
            <w:r>
              <w:t xml:space="preserve">-8.6389***</w:t>
            </w:r>
          </w:p>
        </w:tc>
        <w:tc>
          <w:tcPr/>
          <w:p>
            <w:pPr>
              <w:pStyle w:val="Compact"/>
              <w:jc w:val="left"/>
            </w:pPr>
            <w:r>
              <w:t xml:space="preserve">-55.6789***</w:t>
            </w:r>
          </w:p>
        </w:tc>
      </w:tr>
      <w:tr>
        <w:tc>
          <w:tcPr/>
          <w:p>
            <w:pPr>
              <w:pStyle w:val="Compact"/>
              <w:jc w:val="left"/>
            </w:pPr>
            <w:r>
              <w:t xml:space="preserve">BAE_SYSTEMS</w:t>
            </w:r>
          </w:p>
        </w:tc>
        <w:tc>
          <w:tcPr/>
          <w:p>
            <w:pPr>
              <w:pStyle w:val="Compact"/>
              <w:jc w:val="left"/>
            </w:pPr>
            <w:r>
              <w:t xml:space="preserve">2117775</w:t>
            </w:r>
          </w:p>
        </w:tc>
        <w:tc>
          <w:tcPr/>
          <w:p>
            <w:pPr>
              <w:pStyle w:val="Compact"/>
              <w:jc w:val="left"/>
            </w:pPr>
            <w:r>
              <w:t xml:space="preserve">-16.0119***</w:t>
            </w:r>
          </w:p>
        </w:tc>
        <w:tc>
          <w:tcPr/>
          <w:p>
            <w:pPr>
              <w:pStyle w:val="Compact"/>
              <w:jc w:val="left"/>
            </w:pPr>
            <w:r>
              <w:t xml:space="preserve">-50.1728***</w:t>
            </w:r>
          </w:p>
        </w:tc>
      </w:tr>
      <w:tr>
        <w:tc>
          <w:tcPr/>
          <w:p>
            <w:pPr>
              <w:pStyle w:val="Compact"/>
              <w:jc w:val="left"/>
            </w:pPr>
            <w:r>
              <w:t xml:space="preserve">THALES</w:t>
            </w:r>
          </w:p>
        </w:tc>
        <w:tc>
          <w:tcPr/>
          <w:p>
            <w:pPr>
              <w:pStyle w:val="Compact"/>
              <w:jc w:val="left"/>
            </w:pPr>
            <w:r>
              <w:t xml:space="preserve">4625049</w:t>
            </w:r>
          </w:p>
        </w:tc>
        <w:tc>
          <w:tcPr/>
          <w:p>
            <w:pPr>
              <w:pStyle w:val="Compact"/>
              <w:jc w:val="left"/>
            </w:pPr>
            <w:r>
              <w:t xml:space="preserve">-16.3795***</w:t>
            </w:r>
          </w:p>
        </w:tc>
        <w:tc>
          <w:tcPr/>
          <w:p>
            <w:pPr>
              <w:pStyle w:val="Compact"/>
              <w:jc w:val="left"/>
            </w:pPr>
            <w:r>
              <w:t xml:space="preserve">-60.5916***</w:t>
            </w:r>
          </w:p>
        </w:tc>
      </w:tr>
      <w:tr>
        <w:tc>
          <w:tcPr/>
          <w:p>
            <w:pPr>
              <w:pStyle w:val="Compact"/>
              <w:jc w:val="left"/>
            </w:pPr>
            <w:r>
              <w:t xml:space="preserve">AECC_AVIATION_POWER__A_</w:t>
            </w:r>
          </w:p>
        </w:tc>
        <w:tc>
          <w:tcPr/>
          <w:p>
            <w:pPr>
              <w:pStyle w:val="Compact"/>
              <w:jc w:val="left"/>
            </w:pPr>
            <w:r>
              <w:t xml:space="preserve">38428</w:t>
            </w:r>
          </w:p>
        </w:tc>
        <w:tc>
          <w:tcPr/>
          <w:p>
            <w:pPr>
              <w:pStyle w:val="Compact"/>
              <w:jc w:val="left"/>
            </w:pPr>
            <w:r>
              <w:t xml:space="preserve">-9.8441***</w:t>
            </w:r>
          </w:p>
        </w:tc>
        <w:tc>
          <w:tcPr/>
          <w:p>
            <w:pPr>
              <w:pStyle w:val="Compact"/>
              <w:jc w:val="left"/>
            </w:pPr>
            <w:r>
              <w:t xml:space="preserve">-62.2551***</w:t>
            </w:r>
          </w:p>
        </w:tc>
      </w:tr>
      <w:tr>
        <w:tc>
          <w:tcPr/>
          <w:p>
            <w:pPr>
              <w:pStyle w:val="Compact"/>
              <w:jc w:val="left"/>
            </w:pPr>
            <w:r>
              <w:t xml:space="preserve">HEICO</w:t>
            </w:r>
          </w:p>
        </w:tc>
        <w:tc>
          <w:tcPr/>
          <w:p>
            <w:pPr>
              <w:pStyle w:val="Compact"/>
              <w:jc w:val="left"/>
            </w:pPr>
            <w:r>
              <w:t xml:space="preserve">5142764</w:t>
            </w:r>
          </w:p>
        </w:tc>
        <w:tc>
          <w:tcPr/>
          <w:p>
            <w:pPr>
              <w:pStyle w:val="Compact"/>
              <w:jc w:val="left"/>
            </w:pPr>
            <w:r>
              <w:t xml:space="preserve">-9.5040***</w:t>
            </w:r>
          </w:p>
        </w:tc>
        <w:tc>
          <w:tcPr/>
          <w:p>
            <w:pPr>
              <w:pStyle w:val="Compact"/>
              <w:jc w:val="left"/>
            </w:pPr>
            <w:r>
              <w:t xml:space="preserve">-65.6277***</w:t>
            </w:r>
          </w:p>
        </w:tc>
      </w:tr>
      <w:tr>
        <w:tc>
          <w:tcPr/>
          <w:p>
            <w:pPr>
              <w:pStyle w:val="Compact"/>
              <w:jc w:val="left"/>
            </w:pPr>
            <w:r>
              <w:t xml:space="preserve">AVIC_SHENYANG_AIRCRAFT__A_</w:t>
            </w:r>
          </w:p>
        </w:tc>
        <w:tc>
          <w:tcPr/>
          <w:p>
            <w:pPr>
              <w:pStyle w:val="Compact"/>
              <w:jc w:val="left"/>
            </w:pPr>
            <w:r>
              <w:t xml:space="preserve">19848</w:t>
            </w:r>
          </w:p>
        </w:tc>
        <w:tc>
          <w:tcPr/>
          <w:p>
            <w:pPr>
              <w:pStyle w:val="Compact"/>
              <w:jc w:val="left"/>
            </w:pPr>
            <w:r>
              <w:t xml:space="preserve">-10.2645***</w:t>
            </w:r>
          </w:p>
        </w:tc>
        <w:tc>
          <w:tcPr/>
          <w:p>
            <w:pPr>
              <w:pStyle w:val="Compact"/>
              <w:jc w:val="left"/>
            </w:pPr>
            <w:r>
              <w:t xml:space="preserve">-62.4013***</w:t>
            </w:r>
          </w:p>
        </w:tc>
      </w:tr>
      <w:tr>
        <w:tc>
          <w:tcPr/>
          <w:p>
            <w:pPr>
              <w:pStyle w:val="Compact"/>
              <w:jc w:val="left"/>
            </w:pPr>
            <w:r>
              <w:t xml:space="preserve">TEXTRON</w:t>
            </w:r>
          </w:p>
        </w:tc>
        <w:tc>
          <w:tcPr/>
          <w:p>
            <w:pPr>
              <w:pStyle w:val="Compact"/>
              <w:jc w:val="left"/>
            </w:pPr>
            <w:r>
              <w:t xml:space="preserve">2525317</w:t>
            </w:r>
          </w:p>
        </w:tc>
        <w:tc>
          <w:tcPr/>
          <w:p>
            <w:pPr>
              <w:pStyle w:val="Compact"/>
              <w:jc w:val="left"/>
            </w:pPr>
            <w:r>
              <w:t xml:space="preserve">-10.6989***</w:t>
            </w:r>
          </w:p>
        </w:tc>
        <w:tc>
          <w:tcPr/>
          <w:p>
            <w:pPr>
              <w:pStyle w:val="Compact"/>
              <w:jc w:val="left"/>
            </w:pPr>
            <w:r>
              <w:t xml:space="preserve">-55.9341***</w:t>
            </w:r>
          </w:p>
        </w:tc>
      </w:tr>
      <w:tr>
        <w:tc>
          <w:tcPr/>
          <w:p>
            <w:pPr>
              <w:pStyle w:val="Compact"/>
              <w:jc w:val="left"/>
            </w:pPr>
            <w:r>
              <w:t xml:space="preserve">HOWMET_AEROSPACE</w:t>
            </w:r>
          </w:p>
        </w:tc>
        <w:tc>
          <w:tcPr/>
          <w:p>
            <w:pPr>
              <w:pStyle w:val="Compact"/>
              <w:jc w:val="left"/>
            </w:pPr>
            <w:r>
              <w:t xml:space="preserve">8990159</w:t>
            </w:r>
          </w:p>
        </w:tc>
        <w:tc>
          <w:tcPr/>
          <w:p>
            <w:pPr>
              <w:pStyle w:val="Compact"/>
              <w:jc w:val="left"/>
            </w:pPr>
            <w:r>
              <w:t xml:space="preserve">-15.2603***</w:t>
            </w:r>
          </w:p>
        </w:tc>
        <w:tc>
          <w:tcPr/>
          <w:p>
            <w:pPr>
              <w:pStyle w:val="Compact"/>
              <w:jc w:val="left"/>
            </w:pPr>
            <w:r>
              <w:t xml:space="preserve">-62.3260***</w:t>
            </w:r>
          </w:p>
        </w:tc>
      </w:tr>
      <w:tr>
        <w:tc>
          <w:tcPr/>
          <w:p>
            <w:pPr>
              <w:pStyle w:val="Compact"/>
              <w:jc w:val="left"/>
            </w:pPr>
            <w:r>
              <w:t xml:space="preserve">AVIC_XI_AN_AIRCRAFT_INDUSTRY_GROUP__A_</w:t>
            </w:r>
          </w:p>
        </w:tc>
        <w:tc>
          <w:tcPr/>
          <w:p>
            <w:pPr>
              <w:pStyle w:val="Compact"/>
              <w:jc w:val="left"/>
            </w:pPr>
            <w:r>
              <w:t xml:space="preserve">51874</w:t>
            </w:r>
          </w:p>
        </w:tc>
        <w:tc>
          <w:tcPr/>
          <w:p>
            <w:pPr>
              <w:pStyle w:val="Compact"/>
              <w:jc w:val="left"/>
            </w:pPr>
            <w:r>
              <w:t xml:space="preserve">-10.7828***</w:t>
            </w:r>
          </w:p>
        </w:tc>
        <w:tc>
          <w:tcPr/>
          <w:p>
            <w:pPr>
              <w:pStyle w:val="Compact"/>
              <w:jc w:val="left"/>
            </w:pPr>
            <w:r>
              <w:t xml:space="preserve">-60.2592***</w:t>
            </w:r>
          </w:p>
        </w:tc>
      </w:tr>
      <w:tr>
        <w:tc>
          <w:tcPr/>
          <w:p>
            <w:pPr>
              <w:pStyle w:val="Compact"/>
              <w:jc w:val="left"/>
            </w:pPr>
            <w:r>
              <w:t xml:space="preserve">DASSAULT_AVIATION</w:t>
            </w:r>
          </w:p>
        </w:tc>
        <w:tc>
          <w:tcPr/>
          <w:p>
            <w:pPr>
              <w:pStyle w:val="Compact"/>
              <w:jc w:val="left"/>
            </w:pPr>
            <w:r>
              <w:t xml:space="preserve">10416628</w:t>
            </w:r>
          </w:p>
        </w:tc>
        <w:tc>
          <w:tcPr/>
          <w:p>
            <w:pPr>
              <w:pStyle w:val="Compact"/>
              <w:jc w:val="left"/>
            </w:pPr>
            <w:r>
              <w:t xml:space="preserve">-12.8417***</w:t>
            </w:r>
          </w:p>
        </w:tc>
        <w:tc>
          <w:tcPr/>
          <w:p>
            <w:pPr>
              <w:pStyle w:val="Compact"/>
              <w:jc w:val="left"/>
            </w:pPr>
            <w:r>
              <w:t xml:space="preserve">-55.6529***</w:t>
            </w:r>
          </w:p>
        </w:tc>
      </w:tr>
      <w:tr>
        <w:tc>
          <w:tcPr/>
          <w:p>
            <w:pPr>
              <w:pStyle w:val="Compact"/>
              <w:jc w:val="left"/>
            </w:pPr>
            <w:r>
              <w:t xml:space="preserve">MTU_AERO_ENGINES__XET__HLDG_</w:t>
            </w:r>
          </w:p>
        </w:tc>
        <w:tc>
          <w:tcPr/>
          <w:p>
            <w:pPr>
              <w:pStyle w:val="Compact"/>
              <w:jc w:val="left"/>
            </w:pPr>
            <w:r>
              <w:t xml:space="preserve">4074035</w:t>
            </w:r>
          </w:p>
        </w:tc>
        <w:tc>
          <w:tcPr/>
          <w:p>
            <w:pPr>
              <w:pStyle w:val="Compact"/>
              <w:jc w:val="left"/>
            </w:pPr>
            <w:r>
              <w:t xml:space="preserve">-9.3358***</w:t>
            </w:r>
          </w:p>
        </w:tc>
        <w:tc>
          <w:tcPr/>
          <w:p>
            <w:pPr>
              <w:pStyle w:val="Compact"/>
              <w:jc w:val="left"/>
            </w:pPr>
            <w:r>
              <w:t xml:space="preserve">-66.7664***</w:t>
            </w:r>
          </w:p>
        </w:tc>
      </w:tr>
      <w:tr>
        <w:tc>
          <w:tcPr/>
          <w:p>
            <w:pPr>
              <w:pStyle w:val="Compact"/>
              <w:jc w:val="left"/>
            </w:pPr>
            <w:r>
              <w:t xml:space="preserve">ROLLS_ROYCE_HOLDINGS</w:t>
            </w:r>
          </w:p>
        </w:tc>
        <w:tc>
          <w:tcPr/>
          <w:p>
            <w:pPr>
              <w:pStyle w:val="Compact"/>
              <w:jc w:val="left"/>
            </w:pPr>
            <w:r>
              <w:t xml:space="preserve">66237434</w:t>
            </w:r>
          </w:p>
        </w:tc>
        <w:tc>
          <w:tcPr/>
          <w:p>
            <w:pPr>
              <w:pStyle w:val="Compact"/>
              <w:jc w:val="left"/>
            </w:pPr>
            <w:r>
              <w:t xml:space="preserve">-5.3944***</w:t>
            </w:r>
          </w:p>
        </w:tc>
        <w:tc>
          <w:tcPr/>
          <w:p>
            <w:pPr>
              <w:pStyle w:val="Compact"/>
              <w:jc w:val="left"/>
            </w:pPr>
            <w:r>
              <w:t xml:space="preserve">-63.2794***</w:t>
            </w:r>
          </w:p>
        </w:tc>
      </w:tr>
      <w:tr>
        <w:tc>
          <w:tcPr/>
          <w:p>
            <w:pPr>
              <w:pStyle w:val="Compact"/>
              <w:jc w:val="left"/>
            </w:pPr>
            <w:r>
              <w:t xml:space="preserve">SINGAPORE_TECHS_ENGR_</w:t>
            </w:r>
          </w:p>
        </w:tc>
        <w:tc>
          <w:tcPr/>
          <w:p>
            <w:pPr>
              <w:pStyle w:val="Compact"/>
              <w:jc w:val="left"/>
            </w:pPr>
            <w:r>
              <w:t xml:space="preserve">9984241</w:t>
            </w:r>
          </w:p>
        </w:tc>
        <w:tc>
          <w:tcPr/>
          <w:p>
            <w:pPr>
              <w:pStyle w:val="Compact"/>
              <w:jc w:val="left"/>
            </w:pPr>
            <w:r>
              <w:t xml:space="preserve">-12.0964***</w:t>
            </w:r>
          </w:p>
        </w:tc>
        <w:tc>
          <w:tcPr/>
          <w:p>
            <w:pPr>
              <w:pStyle w:val="Compact"/>
              <w:jc w:val="left"/>
            </w:pPr>
            <w:r>
              <w:t xml:space="preserve">-67.2677***</w:t>
            </w:r>
          </w:p>
        </w:tc>
      </w:tr>
    </w:tbl>
    <w:bookmarkEnd w:id="122"/>
    <w:p>
      <w:pPr>
        <w:pStyle w:val="BodyText"/>
      </w:pPr>
      <w:r>
        <w:t xml:space="preserve">Notes: The sample period is 23 August 2010 – July 1, 2022, yielding 3095 daily volatility observations. Volatility is computed as squared returns. ADF (Augmented Dickey-Fuller) and PP (Phillips-Perron) stationarity tests. They are conducted with a constant. The lag length is selected based on SIC. *** indicates statistical significance at the 1% level.</w:t>
      </w:r>
    </w:p>
    <w:bookmarkStart w:id="123" w:name="tbl-mktcap"/>
    <w:p>
      <w:pPr>
        <w:pStyle w:val="TableCaption"/>
      </w:pPr>
      <w:r>
        <w:t xml:space="preserve">Table 2: Market capitalisation of stocks</w:t>
      </w:r>
    </w:p>
    <w:tbl>
      <w:tblPr>
        <w:tblStyle w:val="Table"/>
        <w:tblW w:type="pct" w:w="5000"/>
        <w:tblLook w:firstRow="1" w:lastRow="0" w:firstColumn="0" w:lastColumn="0" w:noHBand="0" w:noVBand="0" w:val="0020"/>
        <w:tblCaption w:val="Table 2: Market capitalisation of stocks"/>
      </w:tblPr>
      <w:tblGrid>
        <w:gridCol w:w="1952"/>
        <w:gridCol w:w="2061"/>
        <w:gridCol w:w="1952"/>
        <w:gridCol w:w="1952"/>
      </w:tblGrid>
      <w:tr>
        <w:trPr>
          <w:tblHeader w:val="true"/>
        </w:trPr>
        <w:tc>
          <w:tcPr/>
          <w:p>
            <w:pPr>
              <w:pStyle w:val="Compact"/>
              <w:jc w:val="left"/>
            </w:pPr>
            <w:r>
              <w:rPr>
                <w:bCs/>
                <w:b/>
              </w:rPr>
              <w:t xml:space="preserve">Identifier RIC</w:t>
            </w:r>
          </w:p>
        </w:tc>
        <w:tc>
          <w:tcPr/>
          <w:p>
            <w:pPr>
              <w:pStyle w:val="Compact"/>
              <w:jc w:val="left"/>
            </w:pPr>
            <w:r>
              <w:rPr>
                <w:bCs/>
                <w:b/>
              </w:rPr>
              <w:t xml:space="preserve">Company Name</w:t>
            </w:r>
          </w:p>
        </w:tc>
        <w:tc>
          <w:tcPr/>
          <w:p>
            <w:pPr>
              <w:pStyle w:val="Compact"/>
              <w:jc w:val="left"/>
            </w:pPr>
            <w:r>
              <w:rPr>
                <w:bCs/>
                <w:b/>
              </w:rPr>
              <w:t xml:space="preserve">Market Cap (USD)</w:t>
            </w:r>
          </w:p>
        </w:tc>
        <w:tc>
          <w:tcPr/>
          <w:p>
            <w:pPr>
              <w:pStyle w:val="Compact"/>
              <w:jc w:val="left"/>
            </w:pPr>
            <w:r>
              <w:rPr>
                <w:bCs/>
                <w:b/>
              </w:rPr>
              <w:t xml:space="preserve">Country</w:t>
            </w:r>
          </w:p>
        </w:tc>
      </w:tr>
      <w:tr>
        <w:tc>
          <w:tcPr/>
          <w:p>
            <w:pPr>
              <w:pStyle w:val="Compact"/>
              <w:jc w:val="left"/>
            </w:pPr>
            <w:r>
              <w:t xml:space="preserve">RTX.N</w:t>
            </w:r>
          </w:p>
        </w:tc>
        <w:tc>
          <w:tcPr/>
          <w:p>
            <w:pPr>
              <w:pStyle w:val="Compact"/>
              <w:jc w:val="left"/>
            </w:pPr>
            <w:r>
              <w:t xml:space="preserve">Raytheon Technologies Corp</w:t>
            </w:r>
          </w:p>
        </w:tc>
        <w:tc>
          <w:tcPr/>
          <w:p>
            <w:pPr>
              <w:pStyle w:val="Compact"/>
              <w:jc w:val="left"/>
            </w:pPr>
            <w:r>
              <w:t xml:space="preserve">146,531,979,614</w:t>
            </w:r>
          </w:p>
        </w:tc>
        <w:tc>
          <w:tcPr/>
          <w:p>
            <w:pPr>
              <w:pStyle w:val="Compact"/>
              <w:jc w:val="left"/>
            </w:pPr>
            <w:r>
              <w:t xml:space="preserve">US</w:t>
            </w:r>
          </w:p>
        </w:tc>
      </w:tr>
      <w:tr>
        <w:tc>
          <w:tcPr/>
          <w:p>
            <w:pPr>
              <w:pStyle w:val="Compact"/>
              <w:jc w:val="left"/>
            </w:pPr>
            <w:r>
              <w:t xml:space="preserve">LMT.N</w:t>
            </w:r>
          </w:p>
        </w:tc>
        <w:tc>
          <w:tcPr/>
          <w:p>
            <w:pPr>
              <w:pStyle w:val="Compact"/>
              <w:jc w:val="left"/>
            </w:pPr>
            <w:r>
              <w:t xml:space="preserve">Lockheed Martin Corp</w:t>
            </w:r>
          </w:p>
        </w:tc>
        <w:tc>
          <w:tcPr/>
          <w:p>
            <w:pPr>
              <w:pStyle w:val="Compact"/>
              <w:jc w:val="left"/>
            </w:pPr>
            <w:r>
              <w:t xml:space="preserve">126,945,196,089</w:t>
            </w:r>
          </w:p>
        </w:tc>
        <w:tc>
          <w:tcPr/>
          <w:p>
            <w:pPr>
              <w:pStyle w:val="Compact"/>
              <w:jc w:val="left"/>
            </w:pPr>
            <w:r>
              <w:t xml:space="preserve">US</w:t>
            </w:r>
          </w:p>
        </w:tc>
      </w:tr>
      <w:tr>
        <w:tc>
          <w:tcPr/>
          <w:p>
            <w:pPr>
              <w:pStyle w:val="Compact"/>
              <w:jc w:val="left"/>
            </w:pPr>
            <w:r>
              <w:t xml:space="preserve">BA.N</w:t>
            </w:r>
          </w:p>
        </w:tc>
        <w:tc>
          <w:tcPr/>
          <w:p>
            <w:pPr>
              <w:pStyle w:val="Compact"/>
              <w:jc w:val="left"/>
            </w:pPr>
            <w:r>
              <w:t xml:space="preserve">Boeing Co</w:t>
            </w:r>
          </w:p>
        </w:tc>
        <w:tc>
          <w:tcPr/>
          <w:p>
            <w:pPr>
              <w:pStyle w:val="Compact"/>
              <w:jc w:val="left"/>
            </w:pPr>
            <w:r>
              <w:t xml:space="preserve">98,626,070,245</w:t>
            </w:r>
          </w:p>
        </w:tc>
        <w:tc>
          <w:tcPr/>
          <w:p>
            <w:pPr>
              <w:pStyle w:val="Compact"/>
              <w:jc w:val="left"/>
            </w:pPr>
            <w:r>
              <w:t xml:space="preserve">US</w:t>
            </w:r>
          </w:p>
        </w:tc>
      </w:tr>
      <w:tr>
        <w:tc>
          <w:tcPr/>
          <w:p>
            <w:pPr>
              <w:pStyle w:val="Compact"/>
              <w:jc w:val="left"/>
            </w:pPr>
            <w:r>
              <w:t xml:space="preserve">AIR.PA</w:t>
            </w:r>
          </w:p>
        </w:tc>
        <w:tc>
          <w:tcPr/>
          <w:p>
            <w:pPr>
              <w:pStyle w:val="Compact"/>
              <w:jc w:val="left"/>
            </w:pPr>
            <w:r>
              <w:t xml:space="preserve">Airbus SE</w:t>
            </w:r>
          </w:p>
        </w:tc>
        <w:tc>
          <w:tcPr/>
          <w:p>
            <w:pPr>
              <w:pStyle w:val="Compact"/>
              <w:jc w:val="left"/>
            </w:pPr>
            <w:r>
              <w:t xml:space="preserve">80,725,491,421</w:t>
            </w:r>
          </w:p>
        </w:tc>
        <w:tc>
          <w:tcPr/>
          <w:p>
            <w:pPr>
              <w:pStyle w:val="Compact"/>
              <w:jc w:val="left"/>
            </w:pPr>
            <w:r>
              <w:t xml:space="preserve">France</w:t>
            </w:r>
          </w:p>
        </w:tc>
      </w:tr>
      <w:tr>
        <w:tc>
          <w:tcPr/>
          <w:p>
            <w:pPr>
              <w:pStyle w:val="Compact"/>
              <w:jc w:val="left"/>
            </w:pPr>
            <w:r>
              <w:t xml:space="preserve">NOC.N</w:t>
            </w:r>
          </w:p>
        </w:tc>
        <w:tc>
          <w:tcPr/>
          <w:p>
            <w:pPr>
              <w:pStyle w:val="Compact"/>
              <w:jc w:val="left"/>
            </w:pPr>
            <w:r>
              <w:t xml:space="preserve">Northrop Grumman Corp</w:t>
            </w:r>
          </w:p>
        </w:tc>
        <w:tc>
          <w:tcPr/>
          <w:p>
            <w:pPr>
              <w:pStyle w:val="Compact"/>
              <w:jc w:val="left"/>
            </w:pPr>
            <w:r>
              <w:t xml:space="preserve">74,608,919,355</w:t>
            </w:r>
          </w:p>
        </w:tc>
        <w:tc>
          <w:tcPr/>
          <w:p>
            <w:pPr>
              <w:pStyle w:val="Compact"/>
              <w:jc w:val="left"/>
            </w:pPr>
            <w:r>
              <w:t xml:space="preserve">US</w:t>
            </w:r>
          </w:p>
        </w:tc>
      </w:tr>
      <w:tr>
        <w:tc>
          <w:tcPr/>
          <w:p>
            <w:pPr>
              <w:pStyle w:val="Compact"/>
              <w:jc w:val="left"/>
            </w:pPr>
            <w:r>
              <w:t xml:space="preserve">GD.N</w:t>
            </w:r>
          </w:p>
        </w:tc>
        <w:tc>
          <w:tcPr/>
          <w:p>
            <w:pPr>
              <w:pStyle w:val="Compact"/>
              <w:jc w:val="left"/>
            </w:pPr>
            <w:r>
              <w:t xml:space="preserve">General Dynamics Corp</w:t>
            </w:r>
          </w:p>
        </w:tc>
        <w:tc>
          <w:tcPr/>
          <w:p>
            <w:pPr>
              <w:pStyle w:val="Compact"/>
              <w:jc w:val="left"/>
            </w:pPr>
            <w:r>
              <w:t xml:space="preserve">68,671,930,259</w:t>
            </w:r>
          </w:p>
        </w:tc>
        <w:tc>
          <w:tcPr/>
          <w:p>
            <w:pPr>
              <w:pStyle w:val="Compact"/>
              <w:jc w:val="left"/>
            </w:pPr>
            <w:r>
              <w:t xml:space="preserve">US</w:t>
            </w:r>
          </w:p>
        </w:tc>
      </w:tr>
      <w:tr>
        <w:tc>
          <w:tcPr/>
          <w:p>
            <w:pPr>
              <w:pStyle w:val="Compact"/>
              <w:jc w:val="left"/>
            </w:pPr>
            <w:r>
              <w:t xml:space="preserve">LHX.N</w:t>
            </w:r>
          </w:p>
        </w:tc>
        <w:tc>
          <w:tcPr/>
          <w:p>
            <w:pPr>
              <w:pStyle w:val="Compact"/>
              <w:jc w:val="left"/>
            </w:pPr>
            <w:r>
              <w:t xml:space="preserve">L3harris Technologies Inc</w:t>
            </w:r>
          </w:p>
        </w:tc>
        <w:tc>
          <w:tcPr/>
          <w:p>
            <w:pPr>
              <w:pStyle w:val="Compact"/>
              <w:jc w:val="left"/>
            </w:pPr>
            <w:r>
              <w:t xml:space="preserve">52,270,661,495</w:t>
            </w:r>
          </w:p>
        </w:tc>
        <w:tc>
          <w:tcPr/>
          <w:p>
            <w:pPr>
              <w:pStyle w:val="Compact"/>
              <w:jc w:val="left"/>
            </w:pPr>
            <w:r>
              <w:t xml:space="preserve">US</w:t>
            </w:r>
          </w:p>
        </w:tc>
      </w:tr>
      <w:tr>
        <w:tc>
          <w:tcPr/>
          <w:p>
            <w:pPr>
              <w:pStyle w:val="Compact"/>
              <w:jc w:val="left"/>
            </w:pPr>
            <w:r>
              <w:t xml:space="preserve">SAF.PA</w:t>
            </w:r>
          </w:p>
        </w:tc>
        <w:tc>
          <w:tcPr/>
          <w:p>
            <w:pPr>
              <w:pStyle w:val="Compact"/>
              <w:jc w:val="left"/>
            </w:pPr>
            <w:r>
              <w:t xml:space="preserve">Safran SA</w:t>
            </w:r>
          </w:p>
        </w:tc>
        <w:tc>
          <w:tcPr/>
          <w:p>
            <w:pPr>
              <w:pStyle w:val="Compact"/>
              <w:jc w:val="left"/>
            </w:pPr>
            <w:r>
              <w:t xml:space="preserve">44,491,097,467</w:t>
            </w:r>
          </w:p>
        </w:tc>
        <w:tc>
          <w:tcPr/>
          <w:p>
            <w:pPr>
              <w:pStyle w:val="Compact"/>
              <w:jc w:val="left"/>
            </w:pPr>
            <w:r>
              <w:t xml:space="preserve">France</w:t>
            </w:r>
          </w:p>
        </w:tc>
      </w:tr>
      <w:tr>
        <w:tc>
          <w:tcPr/>
          <w:p>
            <w:pPr>
              <w:pStyle w:val="Compact"/>
              <w:jc w:val="left"/>
            </w:pPr>
            <w:r>
              <w:t xml:space="preserve">TDG.N</w:t>
            </w:r>
          </w:p>
        </w:tc>
        <w:tc>
          <w:tcPr/>
          <w:p>
            <w:pPr>
              <w:pStyle w:val="Compact"/>
              <w:jc w:val="left"/>
            </w:pPr>
            <w:r>
              <w:t xml:space="preserve">TransDigm Group Inc</w:t>
            </w:r>
          </w:p>
        </w:tc>
        <w:tc>
          <w:tcPr/>
          <w:p>
            <w:pPr>
              <w:pStyle w:val="Compact"/>
              <w:jc w:val="left"/>
            </w:pPr>
            <w:r>
              <w:t xml:space="preserve">32,831,888,090</w:t>
            </w:r>
          </w:p>
        </w:tc>
        <w:tc>
          <w:tcPr/>
          <w:p>
            <w:pPr>
              <w:pStyle w:val="Compact"/>
              <w:jc w:val="left"/>
            </w:pPr>
            <w:r>
              <w:t xml:space="preserve">US</w:t>
            </w:r>
          </w:p>
        </w:tc>
      </w:tr>
      <w:tr>
        <w:tc>
          <w:tcPr/>
          <w:p>
            <w:pPr>
              <w:pStyle w:val="Compact"/>
              <w:jc w:val="left"/>
            </w:pPr>
            <w:r>
              <w:t xml:space="preserve">BAES.L</w:t>
            </w:r>
          </w:p>
        </w:tc>
        <w:tc>
          <w:tcPr/>
          <w:p>
            <w:pPr>
              <w:pStyle w:val="Compact"/>
              <w:jc w:val="left"/>
            </w:pPr>
            <w:r>
              <w:t xml:space="preserve">BAE Systems PLC</w:t>
            </w:r>
          </w:p>
        </w:tc>
        <w:tc>
          <w:tcPr/>
          <w:p>
            <w:pPr>
              <w:pStyle w:val="Compact"/>
              <w:jc w:val="left"/>
            </w:pPr>
            <w:r>
              <w:t xml:space="preserve">30,800,737,305</w:t>
            </w:r>
          </w:p>
        </w:tc>
        <w:tc>
          <w:tcPr/>
          <w:p>
            <w:pPr>
              <w:pStyle w:val="Compact"/>
              <w:jc w:val="left"/>
            </w:pPr>
            <w:r>
              <w:t xml:space="preserve">UK</w:t>
            </w:r>
          </w:p>
        </w:tc>
      </w:tr>
      <w:tr>
        <w:tc>
          <w:tcPr/>
          <w:p>
            <w:pPr>
              <w:pStyle w:val="Compact"/>
              <w:jc w:val="left"/>
            </w:pPr>
            <w:r>
              <w:t xml:space="preserve">TCFP.PA</w:t>
            </w:r>
          </w:p>
        </w:tc>
        <w:tc>
          <w:tcPr/>
          <w:p>
            <w:pPr>
              <w:pStyle w:val="Compact"/>
              <w:jc w:val="left"/>
            </w:pPr>
            <w:r>
              <w:t xml:space="preserve">Thales SA</w:t>
            </w:r>
          </w:p>
        </w:tc>
        <w:tc>
          <w:tcPr/>
          <w:p>
            <w:pPr>
              <w:pStyle w:val="Compact"/>
              <w:jc w:val="left"/>
            </w:pPr>
            <w:r>
              <w:t xml:space="preserve">26,768,225,374</w:t>
            </w:r>
          </w:p>
        </w:tc>
        <w:tc>
          <w:tcPr/>
          <w:p>
            <w:pPr>
              <w:pStyle w:val="Compact"/>
              <w:jc w:val="left"/>
            </w:pPr>
            <w:r>
              <w:t xml:space="preserve">France</w:t>
            </w:r>
          </w:p>
        </w:tc>
      </w:tr>
      <w:tr>
        <w:tc>
          <w:tcPr/>
          <w:p>
            <w:pPr>
              <w:pStyle w:val="Compact"/>
              <w:jc w:val="left"/>
            </w:pPr>
            <w:r>
              <w:t xml:space="preserve">600893.SS</w:t>
            </w:r>
          </w:p>
        </w:tc>
        <w:tc>
          <w:tcPr/>
          <w:p>
            <w:pPr>
              <w:pStyle w:val="Compact"/>
              <w:jc w:val="left"/>
            </w:pPr>
            <w:r>
              <w:t xml:space="preserve">AECC Aviation Power Co Ltd</w:t>
            </w:r>
          </w:p>
        </w:tc>
        <w:tc>
          <w:tcPr/>
          <w:p>
            <w:pPr>
              <w:pStyle w:val="Compact"/>
              <w:jc w:val="left"/>
            </w:pPr>
            <w:r>
              <w:t xml:space="preserve">18,774,820,321</w:t>
            </w:r>
          </w:p>
        </w:tc>
        <w:tc>
          <w:tcPr/>
          <w:p>
            <w:pPr>
              <w:pStyle w:val="Compact"/>
              <w:jc w:val="left"/>
            </w:pPr>
            <w:r>
              <w:t xml:space="preserve">China</w:t>
            </w:r>
          </w:p>
        </w:tc>
      </w:tr>
      <w:tr>
        <w:tc>
          <w:tcPr/>
          <w:p>
            <w:pPr>
              <w:pStyle w:val="Compact"/>
              <w:jc w:val="left"/>
            </w:pPr>
            <w:r>
              <w:t xml:space="preserve">HEI.N</w:t>
            </w:r>
          </w:p>
        </w:tc>
        <w:tc>
          <w:tcPr/>
          <w:p>
            <w:pPr>
              <w:pStyle w:val="Compact"/>
              <w:jc w:val="left"/>
            </w:pPr>
            <w:r>
              <w:t xml:space="preserve">HEICO Corp</w:t>
            </w:r>
          </w:p>
        </w:tc>
        <w:tc>
          <w:tcPr/>
          <w:p>
            <w:pPr>
              <w:pStyle w:val="Compact"/>
              <w:jc w:val="left"/>
            </w:pPr>
            <w:r>
              <w:t xml:space="preserve">18,046,618,051</w:t>
            </w:r>
          </w:p>
        </w:tc>
        <w:tc>
          <w:tcPr/>
          <w:p>
            <w:pPr>
              <w:pStyle w:val="Compact"/>
              <w:jc w:val="left"/>
            </w:pPr>
            <w:r>
              <w:t xml:space="preserve">US</w:t>
            </w:r>
          </w:p>
        </w:tc>
      </w:tr>
      <w:tr>
        <w:tc>
          <w:tcPr/>
          <w:p>
            <w:pPr>
              <w:pStyle w:val="Compact"/>
              <w:jc w:val="left"/>
            </w:pPr>
            <w:r>
              <w:t xml:space="preserve">600760.SS</w:t>
            </w:r>
          </w:p>
        </w:tc>
        <w:tc>
          <w:tcPr/>
          <w:p>
            <w:pPr>
              <w:pStyle w:val="Compact"/>
              <w:jc w:val="left"/>
            </w:pPr>
            <w:r>
              <w:t xml:space="preserve">Avic Shenyang Aircraft Co Ltd</w:t>
            </w:r>
          </w:p>
        </w:tc>
        <w:tc>
          <w:tcPr/>
          <w:p>
            <w:pPr>
              <w:pStyle w:val="Compact"/>
              <w:jc w:val="left"/>
            </w:pPr>
            <w:r>
              <w:t xml:space="preserve">15,837,867,867</w:t>
            </w:r>
          </w:p>
        </w:tc>
        <w:tc>
          <w:tcPr/>
          <w:p>
            <w:pPr>
              <w:pStyle w:val="Compact"/>
              <w:jc w:val="left"/>
            </w:pPr>
            <w:r>
              <w:t xml:space="preserve">China</w:t>
            </w:r>
          </w:p>
        </w:tc>
      </w:tr>
      <w:tr>
        <w:tc>
          <w:tcPr/>
          <w:p>
            <w:pPr>
              <w:pStyle w:val="Compact"/>
              <w:jc w:val="left"/>
            </w:pPr>
            <w:r>
              <w:t xml:space="preserve">TXT.N</w:t>
            </w:r>
          </w:p>
        </w:tc>
        <w:tc>
          <w:tcPr/>
          <w:p>
            <w:pPr>
              <w:pStyle w:val="Compact"/>
              <w:jc w:val="left"/>
            </w:pPr>
            <w:r>
              <w:t xml:space="preserve">Textron Inc</w:t>
            </w:r>
          </w:p>
        </w:tc>
        <w:tc>
          <w:tcPr/>
          <w:p>
            <w:pPr>
              <w:pStyle w:val="Compact"/>
              <w:jc w:val="left"/>
            </w:pPr>
            <w:r>
              <w:t xml:space="preserve">14,706,071,116</w:t>
            </w:r>
          </w:p>
        </w:tc>
        <w:tc>
          <w:tcPr/>
          <w:p>
            <w:pPr>
              <w:pStyle w:val="Compact"/>
              <w:jc w:val="left"/>
            </w:pPr>
            <w:r>
              <w:t xml:space="preserve">US</w:t>
            </w:r>
          </w:p>
        </w:tc>
      </w:tr>
      <w:tr>
        <w:tc>
          <w:tcPr/>
          <w:p>
            <w:pPr>
              <w:pStyle w:val="Compact"/>
              <w:jc w:val="left"/>
            </w:pPr>
            <w:r>
              <w:t xml:space="preserve">HWM.N</w:t>
            </w:r>
          </w:p>
        </w:tc>
        <w:tc>
          <w:tcPr/>
          <w:p>
            <w:pPr>
              <w:pStyle w:val="Compact"/>
              <w:jc w:val="left"/>
            </w:pPr>
            <w:r>
              <w:t xml:space="preserve">Howmet Aerospace Inc</w:t>
            </w:r>
          </w:p>
        </w:tc>
        <w:tc>
          <w:tcPr/>
          <w:p>
            <w:pPr>
              <w:pStyle w:val="Compact"/>
              <w:jc w:val="left"/>
            </w:pPr>
            <w:r>
              <w:t xml:space="preserve">13,580,896,080</w:t>
            </w:r>
          </w:p>
        </w:tc>
        <w:tc>
          <w:tcPr/>
          <w:p>
            <w:pPr>
              <w:pStyle w:val="Compact"/>
              <w:jc w:val="left"/>
            </w:pPr>
            <w:r>
              <w:t xml:space="preserve">US</w:t>
            </w:r>
          </w:p>
        </w:tc>
      </w:tr>
      <w:tr>
        <w:tc>
          <w:tcPr/>
          <w:p>
            <w:pPr>
              <w:pStyle w:val="Compact"/>
              <w:jc w:val="left"/>
            </w:pPr>
            <w:r>
              <w:t xml:space="preserve">000768.SZ</w:t>
            </w:r>
          </w:p>
        </w:tc>
        <w:tc>
          <w:tcPr/>
          <w:p>
            <w:pPr>
              <w:pStyle w:val="Compact"/>
              <w:jc w:val="left"/>
            </w:pPr>
            <w:r>
              <w:t xml:space="preserve">Avic XiAn Aircraft Industry Group Co Ltd</w:t>
            </w:r>
          </w:p>
        </w:tc>
        <w:tc>
          <w:tcPr/>
          <w:p>
            <w:pPr>
              <w:pStyle w:val="Compact"/>
              <w:jc w:val="left"/>
            </w:pPr>
            <w:r>
              <w:t xml:space="preserve">13,213,649,293</w:t>
            </w:r>
          </w:p>
        </w:tc>
        <w:tc>
          <w:tcPr/>
          <w:p>
            <w:pPr>
              <w:pStyle w:val="Compact"/>
              <w:jc w:val="left"/>
            </w:pPr>
            <w:r>
              <w:t xml:space="preserve">China</w:t>
            </w:r>
          </w:p>
        </w:tc>
      </w:tr>
      <w:tr>
        <w:tc>
          <w:tcPr/>
          <w:p>
            <w:pPr>
              <w:pStyle w:val="Compact"/>
              <w:jc w:val="left"/>
            </w:pPr>
            <w:r>
              <w:t xml:space="preserve">AM.PA</w:t>
            </w:r>
          </w:p>
        </w:tc>
        <w:tc>
          <w:tcPr/>
          <w:p>
            <w:pPr>
              <w:pStyle w:val="Compact"/>
              <w:jc w:val="left"/>
            </w:pPr>
            <w:r>
              <w:t xml:space="preserve">Dassault Aviation SA</w:t>
            </w:r>
          </w:p>
        </w:tc>
        <w:tc>
          <w:tcPr/>
          <w:p>
            <w:pPr>
              <w:pStyle w:val="Compact"/>
              <w:jc w:val="left"/>
            </w:pPr>
            <w:r>
              <w:t xml:space="preserve">11,958,644,778</w:t>
            </w:r>
          </w:p>
        </w:tc>
        <w:tc>
          <w:tcPr/>
          <w:p>
            <w:pPr>
              <w:pStyle w:val="Compact"/>
              <w:jc w:val="left"/>
            </w:pPr>
            <w:r>
              <w:t xml:space="preserve">France</w:t>
            </w:r>
          </w:p>
        </w:tc>
      </w:tr>
      <w:tr>
        <w:tc>
          <w:tcPr/>
          <w:p>
            <w:pPr>
              <w:pStyle w:val="Compact"/>
              <w:jc w:val="left"/>
            </w:pPr>
            <w:r>
              <w:t xml:space="preserve">MTXGn.DE</w:t>
            </w:r>
          </w:p>
        </w:tc>
        <w:tc>
          <w:tcPr/>
          <w:p>
            <w:pPr>
              <w:pStyle w:val="Compact"/>
              <w:jc w:val="left"/>
            </w:pPr>
            <w:r>
              <w:t xml:space="preserve">MTU Aero Engines AG</w:t>
            </w:r>
          </w:p>
        </w:tc>
        <w:tc>
          <w:tcPr/>
          <w:p>
            <w:pPr>
              <w:pStyle w:val="Compact"/>
              <w:jc w:val="left"/>
            </w:pPr>
            <w:r>
              <w:t xml:space="preserve">11,075,850,164</w:t>
            </w:r>
          </w:p>
        </w:tc>
        <w:tc>
          <w:tcPr/>
          <w:p>
            <w:pPr>
              <w:pStyle w:val="Compact"/>
              <w:jc w:val="left"/>
            </w:pPr>
            <w:r>
              <w:t xml:space="preserve">Germany</w:t>
            </w:r>
          </w:p>
        </w:tc>
      </w:tr>
      <w:tr>
        <w:tc>
          <w:tcPr/>
          <w:p>
            <w:pPr>
              <w:pStyle w:val="Compact"/>
              <w:jc w:val="left"/>
            </w:pPr>
            <w:r>
              <w:t xml:space="preserve">RR.L</w:t>
            </w:r>
          </w:p>
        </w:tc>
        <w:tc>
          <w:tcPr/>
          <w:p>
            <w:pPr>
              <w:pStyle w:val="Compact"/>
              <w:jc w:val="left"/>
            </w:pPr>
            <w:r>
              <w:t xml:space="preserve">Rolls-Royce Holdings PLC</w:t>
            </w:r>
          </w:p>
        </w:tc>
        <w:tc>
          <w:tcPr/>
          <w:p>
            <w:pPr>
              <w:pStyle w:val="Compact"/>
              <w:jc w:val="left"/>
            </w:pPr>
            <w:r>
              <w:t xml:space="preserve">9,761,495,628</w:t>
            </w:r>
          </w:p>
        </w:tc>
        <w:tc>
          <w:tcPr/>
          <w:p>
            <w:pPr>
              <w:pStyle w:val="Compact"/>
              <w:jc w:val="left"/>
            </w:pPr>
            <w:r>
              <w:t xml:space="preserve">UK</w:t>
            </w:r>
          </w:p>
        </w:tc>
      </w:tr>
      <w:tr>
        <w:tc>
          <w:tcPr/>
          <w:p>
            <w:pPr>
              <w:pStyle w:val="Compact"/>
              <w:jc w:val="left"/>
            </w:pPr>
            <w:r>
              <w:t xml:space="preserve">STEG.SI</w:t>
            </w:r>
          </w:p>
        </w:tc>
        <w:tc>
          <w:tcPr/>
          <w:p>
            <w:pPr>
              <w:pStyle w:val="Compact"/>
              <w:jc w:val="left"/>
            </w:pPr>
            <w:r>
              <w:t xml:space="preserve">Singapore Technologies Engineering Ltd</w:t>
            </w:r>
          </w:p>
        </w:tc>
        <w:tc>
          <w:tcPr/>
          <w:p>
            <w:pPr>
              <w:pStyle w:val="Compact"/>
              <w:jc w:val="left"/>
            </w:pPr>
            <w:r>
              <w:t xml:space="preserve">9,243,974,029</w:t>
            </w:r>
          </w:p>
        </w:tc>
        <w:tc>
          <w:tcPr/>
          <w:p>
            <w:pPr>
              <w:pStyle w:val="Compact"/>
              <w:jc w:val="left"/>
            </w:pPr>
            <w:r>
              <w:t xml:space="preserve">Singapore</w:t>
            </w:r>
          </w:p>
        </w:tc>
      </w:tr>
    </w:tbl>
    <w:bookmarkEnd w:id="123"/>
    <w:bookmarkStart w:id="136" w:name="refs"/>
    <w:bookmarkStart w:id="125" w:name="ref-Ando.2022"/>
    <w:p>
      <w:pPr>
        <w:pStyle w:val="Bibliography"/>
      </w:pPr>
      <w:r>
        <w:t xml:space="preserve">Ando, Tomohiro, Matthew Greenwood-Nimmo, and Yongcheol Shin. 2022.</w:t>
      </w:r>
      <w:r>
        <w:t xml:space="preserve"> </w:t>
      </w:r>
      <w:r>
        <w:t xml:space="preserve">“</w:t>
      </w:r>
      <w:r>
        <w:t xml:space="preserve">Quantile Connectedness: Modeling Tail Behavior in the Topology of Financial Networks</w:t>
      </w:r>
      <w:r>
        <w:t xml:space="preserve">.”</w:t>
      </w:r>
      <w:r>
        <w:t xml:space="preserve"> </w:t>
      </w:r>
      <w:r>
        <w:rPr>
          <w:iCs/>
          <w:i/>
        </w:rPr>
        <w:t xml:space="preserve">Management Science</w:t>
      </w:r>
      <w:r>
        <w:t xml:space="preserve"> </w:t>
      </w:r>
      <w:r>
        <w:t xml:space="preserve">68 (4): 2401–31.</w:t>
      </w:r>
      <w:r>
        <w:t xml:space="preserve"> </w:t>
      </w:r>
      <w:hyperlink r:id="rId124">
        <w:r>
          <w:rPr>
            <w:rStyle w:val="Hyperlink"/>
          </w:rPr>
          <w:t xml:space="preserve">https://doi.org/10.1287/mnsc.2021.3984</w:t>
        </w:r>
      </w:hyperlink>
      <w:r>
        <w:t xml:space="preserve">.</w:t>
      </w:r>
    </w:p>
    <w:bookmarkEnd w:id="125"/>
    <w:bookmarkStart w:id="127" w:name="ref-NYfed.2022"/>
    <w:p>
      <w:pPr>
        <w:pStyle w:val="Bibliography"/>
      </w:pPr>
      <w:r>
        <w:t xml:space="preserve">Barone, Jordan, Alain Chaboud, Adam Copeland, Cullen Kavoussi, Frank M. Keane, and Searls, and Seth. 2022.</w:t>
      </w:r>
      <w:r>
        <w:t xml:space="preserve"> </w:t>
      </w:r>
      <w:r>
        <w:t xml:space="preserve">“</w:t>
      </w:r>
      <w:r>
        <w:t xml:space="preserve">The Global Dash for Cash: Why Sovereign Bond Market Functioning Varied across Jurisdictions in March 2020</w:t>
      </w:r>
      <w:r>
        <w:t xml:space="preserve">.”</w:t>
      </w:r>
      <w:r>
        <w:t xml:space="preserve"> </w:t>
      </w:r>
      <w:r>
        <w:rPr>
          <w:iCs/>
          <w:i/>
        </w:rPr>
        <w:t xml:space="preserve">New York Federal Reserve Bank Staff Report</w:t>
      </w:r>
      <w:r>
        <w:t xml:space="preserve">, March.</w:t>
      </w:r>
      <w:r>
        <w:t xml:space="preserve"> </w:t>
      </w:r>
      <w:hyperlink r:id="rId126">
        <w:r>
          <w:rPr>
            <w:rStyle w:val="Hyperlink"/>
          </w:rPr>
          <w:t xml:space="preserve">https://www.newyorkfed.org/research/staff\_reports/sr1010</w:t>
        </w:r>
      </w:hyperlink>
      <w:r>
        <w:t xml:space="preserve">.</w:t>
      </w:r>
    </w:p>
    <w:bookmarkEnd w:id="127"/>
    <w:bookmarkStart w:id="129" w:name="ref-Diebold.2009"/>
    <w:p>
      <w:pPr>
        <w:pStyle w:val="Bibliography"/>
      </w:pPr>
      <w:r>
        <w:t xml:space="preserve">Diebold, Francis X., and Kamil Yilmaz. 2009.</w:t>
      </w:r>
      <w:r>
        <w:t xml:space="preserve"> </w:t>
      </w:r>
      <w:r>
        <w:t xml:space="preserve">“</w:t>
      </w:r>
      <w:r>
        <w:t xml:space="preserve">Measuring Financial Asset Return and Volatility Spillovers, with Application to Global Equity Markets*</w:t>
      </w:r>
      <w:r>
        <w:t xml:space="preserve">.”</w:t>
      </w:r>
      <w:r>
        <w:t xml:space="preserve"> </w:t>
      </w:r>
      <w:r>
        <w:rPr>
          <w:iCs/>
          <w:i/>
        </w:rPr>
        <w:t xml:space="preserve">The Economic Journal</w:t>
      </w:r>
      <w:r>
        <w:t xml:space="preserve"> </w:t>
      </w:r>
      <w:r>
        <w:t xml:space="preserve">119 (534): 158–71.</w:t>
      </w:r>
      <w:r>
        <w:t xml:space="preserve"> </w:t>
      </w:r>
      <w:hyperlink r:id="rId128">
        <w:r>
          <w:rPr>
            <w:rStyle w:val="Hyperlink"/>
          </w:rPr>
          <w:t xml:space="preserve">https://doi.org/10.1111/j.1468-0297.2008.02208.x</w:t>
        </w:r>
      </w:hyperlink>
      <w:r>
        <w:t xml:space="preserve">.</w:t>
      </w:r>
    </w:p>
    <w:bookmarkEnd w:id="129"/>
    <w:bookmarkStart w:id="131" w:name="ref-Diebold.2014"/>
    <w:p>
      <w:pPr>
        <w:pStyle w:val="Bibliography"/>
      </w:pPr>
      <w:r>
        <w:t xml:space="preserve">Diebold, Francis X., and Kamil Yılmaz. 2014.</w:t>
      </w:r>
      <w:r>
        <w:t xml:space="preserve"> </w:t>
      </w:r>
      <w:r>
        <w:t xml:space="preserve">“</w:t>
      </w:r>
      <w:r>
        <w:t xml:space="preserve">On the network topology of variance decompositions: Measuring the connectedness of financial firms</w:t>
      </w:r>
      <w:r>
        <w:t xml:space="preserve">.”</w:t>
      </w:r>
      <w:r>
        <w:t xml:space="preserve"> </w:t>
      </w:r>
      <w:r>
        <w:rPr>
          <w:iCs/>
          <w:i/>
        </w:rPr>
        <w:t xml:space="preserve">Journal of Econometrics</w:t>
      </w:r>
      <w:r>
        <w:t xml:space="preserve"> </w:t>
      </w:r>
      <w:r>
        <w:t xml:space="preserve">182 (1): 119–34.</w:t>
      </w:r>
      <w:r>
        <w:t xml:space="preserve"> </w:t>
      </w:r>
      <w:hyperlink r:id="rId130">
        <w:r>
          <w:rPr>
            <w:rStyle w:val="Hyperlink"/>
          </w:rPr>
          <w:t xml:space="preserve">https://doi.org/10.1016/j.jeconom.2014.04.012</w:t>
        </w:r>
      </w:hyperlink>
      <w:r>
        <w:t xml:space="preserve">.</w:t>
      </w:r>
    </w:p>
    <w:bookmarkEnd w:id="131"/>
    <w:bookmarkStart w:id="133" w:name="ref-Dungey.2019"/>
    <w:p>
      <w:pPr>
        <w:pStyle w:val="Bibliography"/>
      </w:pPr>
      <w:r>
        <w:t xml:space="preserve">Dungey, Mardi, John Harvey, and Vladimir Volkov. 2019.</w:t>
      </w:r>
      <w:r>
        <w:t xml:space="preserve"> </w:t>
      </w:r>
      <w:r>
        <w:t xml:space="preserve">“</w:t>
      </w:r>
      <w:r>
        <w:t xml:space="preserve">The changing international network of sovereign debt and financial institutions</w:t>
      </w:r>
      <w:r>
        <w:t xml:space="preserve">.”</w:t>
      </w:r>
      <w:r>
        <w:t xml:space="preserve"> </w:t>
      </w:r>
      <w:r>
        <w:rPr>
          <w:iCs/>
          <w:i/>
        </w:rPr>
        <w:t xml:space="preserve">Journal of International Financial Markets, Institutions and Money</w:t>
      </w:r>
      <w:r>
        <w:t xml:space="preserve"> </w:t>
      </w:r>
      <w:r>
        <w:t xml:space="preserve">60: 149–68.</w:t>
      </w:r>
      <w:r>
        <w:t xml:space="preserve"> </w:t>
      </w:r>
      <w:hyperlink r:id="rId132">
        <w:r>
          <w:rPr>
            <w:rStyle w:val="Hyperlink"/>
          </w:rPr>
          <w:t xml:space="preserve">https://doi.org/10.1016/j.intfin.2018.12.013</w:t>
        </w:r>
      </w:hyperlink>
      <w:r>
        <w:t xml:space="preserve">.</w:t>
      </w:r>
    </w:p>
    <w:bookmarkEnd w:id="133"/>
    <w:bookmarkStart w:id="135" w:name="ref-Londono.2019"/>
    <w:p>
      <w:pPr>
        <w:pStyle w:val="Bibliography"/>
      </w:pPr>
      <w:r>
        <w:t xml:space="preserve">Londono, Juan M. 2019.</w:t>
      </w:r>
      <w:r>
        <w:t xml:space="preserve"> </w:t>
      </w:r>
      <w:r>
        <w:t xml:space="preserve">“</w:t>
      </w:r>
      <w:r>
        <w:t xml:space="preserve">Bad bad contagion</w:t>
      </w:r>
      <w:r>
        <w:t xml:space="preserve">.”</w:t>
      </w:r>
      <w:r>
        <w:t xml:space="preserve"> </w:t>
      </w:r>
      <w:r>
        <w:rPr>
          <w:iCs/>
          <w:i/>
        </w:rPr>
        <w:t xml:space="preserve">Journal of Banking &amp; Finance</w:t>
      </w:r>
      <w:r>
        <w:t xml:space="preserve"> </w:t>
      </w:r>
      <w:r>
        <w:t xml:space="preserve">108: 105652.</w:t>
      </w:r>
      <w:r>
        <w:t xml:space="preserve"> </w:t>
      </w:r>
      <w:hyperlink r:id="rId134">
        <w:r>
          <w:rPr>
            <w:rStyle w:val="Hyperlink"/>
          </w:rPr>
          <w:t xml:space="preserve">https://doi.org/10.1016/j.jbankfin.2019.105652</w:t>
        </w:r>
      </w:hyperlink>
      <w:r>
        <w:t xml:space="preserve">.</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They are conducted with a constant. The lag length is selected based on information criteria. *** indicates statistical significance at the 1% level. series</w:t>
      </w:r>
    </w:p>
  </w:footnote>
  <w:footnote w:id="41">
    <w:p>
      <w:pPr>
        <w:pStyle w:val="FootnoteText"/>
      </w:pPr>
      <w:r>
        <w:rPr>
          <w:rStyle w:val="FootnoteReference"/>
        </w:rPr>
        <w:footnoteRef/>
      </w:r>
      <w:r>
        <w:t xml:space="preserve"> </w:t>
      </w:r>
      <w:r>
        <w:t xml:space="preserve">The methodology has been used by Bouri et al. (2020), Chatziantoniou et al. (2021) and Saeed et al. (2021).</w:t>
      </w:r>
    </w:p>
  </w:footnote>
  <w:footnote w:id="72">
    <w:p>
      <w:pPr>
        <w:pStyle w:val="FootnoteText"/>
      </w:pPr>
      <w:r>
        <w:rPr>
          <w:rStyle w:val="FootnoteReference"/>
        </w:rPr>
        <w:footnoteRef/>
      </w:r>
      <w:r>
        <w:t xml:space="preserve"> </w:t>
      </w:r>
      <w:r>
        <w:t xml:space="preserve">Existing studies in the Deibold-Yilmaz network literature use windows ranging from 100-250 days. Sensitivity analysis has been done and available upon request.</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36" Target="media/rId3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27" Target="media/rId27.png" /><Relationship Type="http://schemas.openxmlformats.org/officeDocument/2006/relationships/image" Id="rId66" Target="media/rId66.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31" Target="media/rId31.png" /><Relationship Type="http://schemas.openxmlformats.org/officeDocument/2006/relationships/hyperlink" Id="rId132" Target="https://doi.org/10.1016/j.intfin.2018.12.013" TargetMode="External" /><Relationship Type="http://schemas.openxmlformats.org/officeDocument/2006/relationships/hyperlink" Id="rId134" Target="https://doi.org/10.1016/j.jbankfin.2019.105652" TargetMode="External" /><Relationship Type="http://schemas.openxmlformats.org/officeDocument/2006/relationships/hyperlink" Id="rId130" Target="https://doi.org/10.1016/j.jeconom.2014.04.012" TargetMode="External" /><Relationship Type="http://schemas.openxmlformats.org/officeDocument/2006/relationships/hyperlink" Id="rId128" Target="https://doi.org/10.1111/j.1468-0297.2008.02208.x" TargetMode="External" /><Relationship Type="http://schemas.openxmlformats.org/officeDocument/2006/relationships/hyperlink" Id="rId124" Target="https://doi.org/10.1287/mnsc.2021.3984" TargetMode="External" /><Relationship Type="http://schemas.openxmlformats.org/officeDocument/2006/relationships/hyperlink" Id="rId126" Target="https://www.newyorkfed.org/research/staff\_reports/sr1010" TargetMode="External" /><Relationship Type="http://schemas.openxmlformats.org/officeDocument/2006/relationships/hyperlink" Id="rId42" Target="https://www.sciencedirect.com/science/article/pii/S1062940819304085#e0015" TargetMode="External" /><Relationship Type="http://schemas.openxmlformats.org/officeDocument/2006/relationships/hyperlink" Id="rId120" Target="tel:2401-2431" TargetMode="External" /></Relationships>
</file>

<file path=word/_rels/footnotes.xml.rels><?xml version="1.0" encoding="UTF-8"?><Relationships xmlns="http://schemas.openxmlformats.org/package/2006/relationships"><Relationship Type="http://schemas.openxmlformats.org/officeDocument/2006/relationships/hyperlink" Id="rId132" Target="https://doi.org/10.1016/j.intfin.2018.12.013" TargetMode="External" /><Relationship Type="http://schemas.openxmlformats.org/officeDocument/2006/relationships/hyperlink" Id="rId134" Target="https://doi.org/10.1016/j.jbankfin.2019.105652" TargetMode="External" /><Relationship Type="http://schemas.openxmlformats.org/officeDocument/2006/relationships/hyperlink" Id="rId130" Target="https://doi.org/10.1016/j.jeconom.2014.04.012" TargetMode="External" /><Relationship Type="http://schemas.openxmlformats.org/officeDocument/2006/relationships/hyperlink" Id="rId128" Target="https://doi.org/10.1111/j.1468-0297.2008.02208.x" TargetMode="External" /><Relationship Type="http://schemas.openxmlformats.org/officeDocument/2006/relationships/hyperlink" Id="rId124" Target="https://doi.org/10.1287/mnsc.2021.3984" TargetMode="External" /><Relationship Type="http://schemas.openxmlformats.org/officeDocument/2006/relationships/hyperlink" Id="rId126" Target="https://www.newyorkfed.org/research/staff\_reports/sr1010" TargetMode="External" /><Relationship Type="http://schemas.openxmlformats.org/officeDocument/2006/relationships/hyperlink" Id="rId42" Target="https://www.sciencedirect.com/science/article/pii/S1062940819304085#e0015" TargetMode="External" /><Relationship Type="http://schemas.openxmlformats.org/officeDocument/2006/relationships/hyperlink" Id="rId120" Target="tel:2401-243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Extreme linkages in the defence and aerospace industry</dc:title>
  <dc:creator>Elie El Bouri; Lisa Sheenan; Barry Quinn</dc:creator>
  <cp:keywords/>
  <dcterms:created xsi:type="dcterms:W3CDTF">2022-12-13T19:18:50Z</dcterms:created>
  <dcterms:modified xsi:type="dcterms:W3CDTF">2022-12-13T19:18:50Z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ref.bib</vt:lpwstr>
  </property>
  <property fmtid="{D5CDD505-2E9C-101B-9397-08002B2CF9AE}" pid="5" name="by-author">
    <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