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b/>
        </w:rPr>
        <w:t>Reviewer’s comments:</w:t>
      </w:r>
      <w:r>
        <w:rPr>
          <w:rFonts w:cs="Times New Roman" w:ascii="Times New Roman" w:hAnsi="Times New Roman"/>
        </w:rPr>
        <w:t xml:space="preserve"> The basis for getting relevant tweets is by looking for tweets with at least one of the following words ‘HIV’, ‘AIDS’, ‘truvada’, ‘prophylaxis’, ‘imtesting’ and ‘PrEP’. PrEP is not specific to HIV/AIDS and therefore the authors should have instead looked for how many of these tweets refer to truvada/PrEP in the context of HIV/AIDS. Pre-Exposure Prophylaxis (PrEP) could refer to preventing other viral diseases too, for example ebola.</w:t>
      </w:r>
    </w:p>
    <w:p>
      <w:pPr>
        <w:pStyle w:val="Normal"/>
        <w:widowControl w:val="false"/>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Truvada is also an ARV (anti-retroviral) and not used only in PrEP. That means patients who have HIV could also be taking Truvada, not only those who are serum-negative but at a risk of contracting HIV.</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b/>
        </w:rPr>
        <w:t>Authors’ response:</w:t>
      </w:r>
      <w:r>
        <w:rPr>
          <w:rFonts w:cs="Times New Roman" w:ascii="Times New Roman" w:hAnsi="Times New Roman"/>
        </w:rPr>
        <w:t xml:space="preserve"> Truvada is indeed used also as anti-retroviral therapy (ART) for people living with HIV, but sentiment analysis for either use (ART or PrEP) would be useful to inform HIV prevention, as HIV treatment reduces viral transmission.</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rPr>
        <w:t>Although anti-viral medications have been used in chemoprophylaxis for influenza in high-risk persons, and Truvada used for HIV prophylaxis has been shown to reduce risk of acquisition of Herpes simplex virus, the term “PrEP” is now strongly associated with HIV prevention. We checked with the Centers for Disease Control and Prevention (CDC) and at present there is no pre-exposure prophylaxis for Ebola or Zika, other viral diseases likely to be discussed in social media</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rPr>
        <w:t xml:space="preserve"> </w:t>
      </w:r>
      <w:r>
        <w:rPr>
          <w:rFonts w:cs="Times New Roman" w:ascii="Times New Roman" w:hAnsi="Times New Roman"/>
          <w:b/>
        </w:rPr>
        <w:t>Reviewer’s comments:</w:t>
      </w:r>
      <w:r>
        <w:rPr>
          <w:rFonts w:cs="Times New Roman" w:ascii="Times New Roman" w:hAnsi="Times New Roman"/>
        </w:rPr>
        <w:t xml:space="preserve"> It would have been interesting if the authors considered looking at the side-effects of Truvada -viz- serious liver problems, lactic acidosis, worsening of hepatitis B (HBV) infection when used for PrEP. Did any people tweet that they were stopping the regimen due to side-effects?</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b/>
        </w:rPr>
        <w:t xml:space="preserve">Authors’ response: </w:t>
      </w:r>
      <w:r>
        <w:rPr>
          <w:rFonts w:cs="Times New Roman" w:ascii="Times New Roman" w:hAnsi="Times New Roman"/>
        </w:rPr>
        <w:t>We are searching for tweets concerning side effects, both those experienced and sentiments expressing fear of possible side effects</w:t>
      </w:r>
    </w:p>
    <w:p>
      <w:pPr>
        <w:pStyle w:val="Normal"/>
        <w:widowControl w:val="false"/>
        <w:rPr>
          <w:rFonts w:ascii="Times New Roman" w:hAnsi="Times New Roman" w:cs="Times New Roman"/>
          <w:b/>
          <w:b/>
        </w:rPr>
      </w:pPr>
      <w:r>
        <w:rPr>
          <w:rFonts w:cs="Times New Roman" w:ascii="Times New Roman" w:hAnsi="Times New Roman"/>
          <w:b/>
        </w:rPr>
        <w:t xml:space="preserve"> </w:t>
      </w:r>
    </w:p>
    <w:p>
      <w:pPr>
        <w:pStyle w:val="Normal"/>
        <w:widowControl w:val="false"/>
        <w:rPr>
          <w:rFonts w:ascii="Times New Roman" w:hAnsi="Times New Roman" w:cs="Times New Roman"/>
        </w:rPr>
      </w:pPr>
      <w:r>
        <w:rPr>
          <w:rFonts w:cs="Times New Roman" w:ascii="Times New Roman" w:hAnsi="Times New Roman"/>
          <w:b/>
        </w:rPr>
        <w:t>Reviewer’s comments:</w:t>
      </w:r>
      <w:r>
        <w:rPr>
          <w:rFonts w:cs="Times New Roman" w:ascii="Times New Roman" w:hAnsi="Times New Roman"/>
        </w:rPr>
        <w:t xml:space="preserve">  It would have been interesting if the authors considered looking at  Abbas et al (Antiretroviral therapy and pre-exposure prophylaxis: combined impact on HIV transmission and drug resistance in South Africa. Abbas UL et al. J Infect Dis. 2013 Jul 15;208(2):224-34) describe a detailed mathematical model to simulate the epidemiological impact of ART-alone, PrEP-alone, and combined ART+PrEP in South Africa. Would be interesting if the authors have a look at this. Ideally, this work should feed into such models.</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b/>
        </w:rPr>
        <w:t xml:space="preserve">Reviewer’s comments: </w:t>
      </w:r>
      <w:r>
        <w:rPr>
          <w:rFonts w:cs="Times New Roman" w:ascii="Times New Roman" w:hAnsi="Times New Roman"/>
        </w:rPr>
        <w:t>Thank you for this suggestion. We will review this article. We anticipate that it will be helpful in our future work.</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pPr>
      <w:r>
        <w:rPr>
          <w:rFonts w:cs="Times New Roman" w:ascii="Times New Roman" w:hAnsi="Times New Roman"/>
          <w:b/>
        </w:rPr>
        <w:t>Reviewer’s comments:</w:t>
      </w:r>
      <w:r>
        <w:rPr>
          <w:rFonts w:cs="Times New Roman" w:ascii="Times New Roman" w:hAnsi="Times New Roman"/>
        </w:rPr>
        <w:t xml:space="preserve"> Social Media is a broad term. So why did the authors restrict themselves to Twitter. What about facebook? Furthermore, focussed discussion sites such as </w:t>
      </w:r>
      <w:hyperlink r:id="rId2">
        <w:r>
          <w:rPr>
            <w:rStyle w:val="InternetLink"/>
            <w:rFonts w:cs="Times New Roman" w:ascii="Times New Roman" w:hAnsi="Times New Roman"/>
            <w:color w:val="0000E9"/>
            <w:u w:val="single" w:color="0000E9"/>
          </w:rPr>
          <w:t>www.patientslikeme.com</w:t>
        </w:r>
      </w:hyperlink>
      <w:r>
        <w:rPr>
          <w:rFonts w:cs="Times New Roman" w:ascii="Times New Roman" w:hAnsi="Times New Roman"/>
        </w:rPr>
        <w:t xml:space="preserve"> contain lots of information about medical conditions and treatments, including HIV. For the objectives considered in the paper, such sites may offer more useful insights.</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pPr>
      <w:r>
        <w:rPr>
          <w:rFonts w:cs="Times New Roman" w:ascii="Times New Roman" w:hAnsi="Times New Roman"/>
          <w:b/>
        </w:rPr>
        <w:t xml:space="preserve">Authors’ response: </w:t>
      </w:r>
      <w:r>
        <w:rPr>
          <w:rFonts w:cs="Times New Roman" w:ascii="Times New Roman" w:hAnsi="Times New Roman"/>
        </w:rPr>
        <w:t xml:space="preserve">Twitter was chosen because it provides publically available data. We are in the process of negotiating with Kaiser Family Foundation for access to comments on their private Facebook account via a data use agreement. This FB account act as a forum for comments on ads and outreach programs for HIV testing and PrEP. Our work with Twitter was a test of concept. There have not been a lot of studies mining social media for sentiment analysis in HIV. We consulted by phone with Sean Young, author of numerous articles on big data, social media, and HIV </w:t>
      </w:r>
      <w:r>
        <w:rPr>
          <w:rFonts w:cs="Times New Roman" w:ascii="Times New Roman" w:hAnsi="Times New Roman"/>
        </w:rPr>
      </w:r>
      <w:r>
        <w:fldChar w:fldCharType="end"/>
      </w:r>
      <w:r>
        <w:fldChar w:fldCharType="begin"/>
      </w:r>
      <w:r>
        <w:instrText>ADDIN EN.CITE.DATA</w:instrText>
      </w:r>
      <w:r>
        <w:fldChar w:fldCharType="separate"/>
      </w:r>
      <w:bookmarkStart w:id="0" w:name="__Fieldmark__86_849089151"/>
      <w:bookmarkStart w:id="1" w:name="__Fieldmark__85_849089151"/>
      <w:bookmarkEnd w:id="0"/>
      <w:r>
        <w:rPr>
          <w:rFonts w:cs="Times New Roman" w:ascii="Times New Roman" w:hAnsi="Times New Roman"/>
        </w:rPr>
        <w:t>(1-7)</w:t>
      </w:r>
      <w:r>
        <w:rPr>
          <w:rFonts w:cs="Times New Roman" w:ascii="Times New Roman" w:hAnsi="Times New Roman"/>
        </w:rPr>
      </w:r>
      <w:r>
        <w:fldChar w:fldCharType="end"/>
      </w:r>
      <w:bookmarkEnd w:id="1"/>
      <w:r>
        <w:rPr>
          <w:rFonts w:cs="Times New Roman" w:ascii="Times New Roman" w:hAnsi="Times New Roman"/>
        </w:rPr>
        <w:t xml:space="preserve"> regarding our methodology, and he supported our approach of beginning with Twitter. Scraping focused discussion sites such as </w:t>
      </w:r>
      <w:hyperlink r:id="rId3">
        <w:r>
          <w:rPr>
            <w:rStyle w:val="InternetLink"/>
            <w:rFonts w:cs="Times New Roman" w:ascii="Times New Roman" w:hAnsi="Times New Roman"/>
            <w:color w:val="0000E9"/>
            <w:u w:val="single" w:color="0000E9"/>
          </w:rPr>
          <w:t>www.patientslikeme.com</w:t>
        </w:r>
      </w:hyperlink>
      <w:r>
        <w:rPr>
          <w:rFonts w:cs="Times New Roman" w:ascii="Times New Roman" w:hAnsi="Times New Roman"/>
        </w:rPr>
        <w:t xml:space="preserve"> would definitely be useful for future analyses.</w:t>
      </w:r>
    </w:p>
    <w:p>
      <w:pPr>
        <w:pStyle w:val="Normal"/>
        <w:widowControl w:val="false"/>
        <w:rPr>
          <w:rFonts w:ascii="Courier" w:hAnsi="Courier" w:cs="Courier"/>
        </w:rPr>
      </w:pPr>
      <w:r>
        <w:rPr>
          <w:rFonts w:cs="Courier" w:ascii="Courier" w:hAnsi="Courier"/>
        </w:rPr>
      </w:r>
    </w:p>
    <w:p>
      <w:pPr>
        <w:pStyle w:val="Normal"/>
        <w:widowControl w:val="false"/>
        <w:rPr>
          <w:rFonts w:ascii="Courier" w:hAnsi="Courier" w:cs="Courier"/>
        </w:rPr>
      </w:pPr>
      <w:r>
        <w:rPr>
          <w:rFonts w:cs="Courier" w:ascii="Courier" w:hAnsi="Courier"/>
        </w:rPr>
      </w:r>
    </w:p>
    <w:p>
      <w:pPr>
        <w:pStyle w:val="Normal"/>
        <w:widowControl w:val="false"/>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Comments on the techniques used:</w:t>
      </w:r>
    </w:p>
    <w:p>
      <w:pPr>
        <w:pStyle w:val="ListParagraph"/>
        <w:widowControl w:val="false"/>
        <w:numPr>
          <w:ilvl w:val="0"/>
          <w:numId w:val="1"/>
        </w:numPr>
        <w:rPr>
          <w:rFonts w:ascii="Times New Roman" w:hAnsi="Times New Roman" w:cs="Times New Roman"/>
        </w:rPr>
      </w:pPr>
      <w:r>
        <w:rPr>
          <w:rFonts w:cs="Times New Roman" w:ascii="Times New Roman" w:hAnsi="Times New Roman"/>
        </w:rPr>
        <w:t>The work can at best be summarized as a case study of analytics using standard tool sets on social media. Thus, it lacks anything fundamental in its contribution to data analytics.</w:t>
      </w:r>
    </w:p>
    <w:p>
      <w:pPr>
        <w:pStyle w:val="Normal"/>
        <w:widowControl w:val="false"/>
        <w:ind w:left="120" w:hanging="0"/>
        <w:rPr>
          <w:rFonts w:ascii="Times New Roman" w:hAnsi="Times New Roman" w:cs="Times New Roman"/>
        </w:rPr>
      </w:pPr>
      <w:r>
        <w:rPr>
          <w:rFonts w:cs="Times New Roman" w:ascii="Times New Roman" w:hAnsi="Times New Roman"/>
          <w:b/>
        </w:rPr>
        <w:t xml:space="preserve">Authors’ response: </w:t>
      </w:r>
      <w:r>
        <w:rPr>
          <w:rFonts w:cs="Times New Roman" w:ascii="Times New Roman" w:hAnsi="Times New Roman"/>
        </w:rPr>
        <w:t>The data analytics have not been applied to HIV and PrEP in the US except for a few studies in California. To our knowledge, no studies using these data analytics in examining social media and PrEP in Georgia have been published. The Southeast overall has the highest incidence and prevalence in HIV in the US, with Georgia #5 in the nation is HIV new cases. As the Southeast demographics differ substantially from other areas studied, we felt a proof of concept in studying the Southeast social media was worthwhile</w:t>
      </w:r>
    </w:p>
    <w:p>
      <w:pPr>
        <w:pStyle w:val="ListParagraph"/>
        <w:widowControl w:val="false"/>
        <w:ind w:left="480" w:hanging="0"/>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 Since a standard toolset is used, why restrict to analysis of content related to PrEP alone? General framework would have been more interesting.</w:t>
      </w:r>
    </w:p>
    <w:p>
      <w:pPr>
        <w:pStyle w:val="Normal"/>
        <w:widowControl w:val="false"/>
        <w:rPr>
          <w:rFonts w:ascii="Times New Roman" w:hAnsi="Times New Roman" w:cs="Times New Roman"/>
        </w:rPr>
      </w:pPr>
      <w:r>
        <w:rPr>
          <w:rFonts w:cs="Times New Roman" w:ascii="Times New Roman" w:hAnsi="Times New Roman"/>
        </w:rPr>
      </w:r>
    </w:p>
    <w:p>
      <w:pPr>
        <w:pStyle w:val="Normal"/>
        <w:widowControl w:val="false"/>
        <w:rPr>
          <w:rFonts w:ascii="Times New Roman" w:hAnsi="Times New Roman" w:cs="Times New Roman"/>
          <w:b/>
          <w:b/>
        </w:rPr>
      </w:pPr>
      <w:r>
        <w:rPr>
          <w:rFonts w:cs="Times New Roman" w:ascii="Times New Roman" w:hAnsi="Times New Roman"/>
          <w:b/>
        </w:rPr>
        <w:t xml:space="preserve">Authors’ response: </w:t>
      </w:r>
      <w:r>
        <w:rPr>
          <w:rFonts w:cs="Times New Roman" w:ascii="Times New Roman" w:hAnsi="Times New Roman"/>
        </w:rPr>
        <w:t xml:space="preserve">We chose to focus specifically on PrEP in consultation with the Georgia Department of Public Health (DPH) and Centers for Disease Control and Prevention (CDC) Division of HIV/AIDS Prevention as they identified PrEP as the area of HIV prevention they prioritized for this sort of social media search. PrEP uptake is notably lower among black men who have sex with men (MSM), a population disproportionately affected by HIV, compared to white MSM. We, in collaboration with behavioral experts at DPH and CDC, hypothesized sentiment analysis around PrEP would yield more specific findings on behavioral barriers and stigma associated with PrEP use. </w:t>
      </w:r>
    </w:p>
    <w:p>
      <w:pPr>
        <w:pStyle w:val="Normal"/>
        <w:widowControl w:val="false"/>
        <w:rPr>
          <w:rFonts w:ascii="Times New Roman" w:hAnsi="Times New Roman" w:cs="Times New Roman"/>
        </w:rPr>
      </w:pPr>
      <w:r>
        <w:rPr>
          <w:rFonts w:cs="Times New Roman" w:ascii="Times New Roman" w:hAnsi="Times New Roman"/>
        </w:rPr>
        <w:t xml:space="preserve">  </w:t>
      </w:r>
      <w:bookmarkStart w:id="2" w:name="_GoBack"/>
      <w:bookmarkEnd w:id="2"/>
      <w:r>
        <w:rPr>
          <w:rFonts w:cs="Times New Roman" w:ascii="Times New Roman" w:hAnsi="Times New Roman"/>
        </w:rPr>
        <w:t>3. Suitability of LDA approach for twitter feed with limited text size is unclear. Authors need to justify this.</w:t>
      </w:r>
    </w:p>
    <w:p>
      <w:pPr>
        <w:pStyle w:val="Normal"/>
        <w:widowControl w:val="false"/>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4. Was word2vec trained on twitter feeds or on literature? This is not discussed. If it was on tweets, the justification is missing as to why this gives a reasonable embedding.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5. Authors make passing mention of the issue of twitter spams, marketing tweets etc. Details related to its effects on DTM, relevance ranking etc., are missing. Few successful case studies cannot be the basis to conclude that the method is robust against spam.</w:t>
      </w:r>
    </w:p>
    <w:p>
      <w:pPr>
        <w:pStyle w:val="Normal"/>
        <w:rPr>
          <w:rFonts w:ascii="Courier" w:hAnsi="Courier" w:cs="Courier"/>
        </w:rPr>
      </w:pPr>
      <w:r>
        <w:rPr>
          <w:rFonts w:cs="Courier" w:ascii="Courier" w:hAnsi="Courier"/>
        </w:rPr>
      </w:r>
    </w:p>
    <w:p>
      <w:pPr>
        <w:pStyle w:val="Normal"/>
        <w:rPr>
          <w:rFonts w:ascii="Courier" w:hAnsi="Courier" w:cs="Courier"/>
          <w:b/>
          <w:b/>
        </w:rPr>
      </w:pPr>
      <w:r>
        <w:rPr>
          <w:rFonts w:cs="Courier" w:ascii="Courier" w:hAnsi="Courier"/>
          <w:b/>
        </w:rPr>
        <w:t>References</w:t>
      </w:r>
    </w:p>
    <w:p>
      <w:pPr>
        <w:pStyle w:val="Normal"/>
        <w:rPr>
          <w:rFonts w:ascii="Courier" w:hAnsi="Courier" w:cs="Courier"/>
        </w:rPr>
      </w:pPr>
      <w:r>
        <w:rPr>
          <w:rFonts w:cs="Courier" w:ascii="Courier" w:hAnsi="Courier"/>
        </w:rPr>
      </w:r>
    </w:p>
    <w:p>
      <w:pPr>
        <w:pStyle w:val="EndNoteBibliography"/>
        <w:rPr/>
      </w:pPr>
      <w:r>
        <w:fldChar w:fldCharType="begin"/>
      </w:r>
      <w:r>
        <w:instrText>ADDIN EN.REFLIST</w:instrText>
      </w:r>
      <w:r>
        <w:fldChar w:fldCharType="separate"/>
      </w:r>
      <w:bookmarkStart w:id="3" w:name="__Fieldmark__122_849089151"/>
      <w:r>
        <w:rPr/>
        <w:t>1.</w:t>
        <w:tab/>
        <w:t>Young SD. A "big data" approach to HIV epidemiology and prevention. Prev Med. 2015;70:17-8.</w:t>
      </w:r>
      <w:bookmarkEnd w:id="3"/>
      <w:r>
        <w:rPr/>
      </w:r>
      <w:r>
        <w:fldChar w:fldCharType="end"/>
      </w:r>
    </w:p>
    <w:p>
      <w:pPr>
        <w:pStyle w:val="EndNoteBibliography"/>
        <w:rPr/>
      </w:pPr>
      <w:r>
        <w:rPr/>
        <w:t>2.</w:t>
        <w:tab/>
        <w:t>Young SD. Social media technologies for HIV prevention study retention among minority men who have sex with men (MSM). AIDS Behav. 2014;18(9):1625-9.</w:t>
      </w:r>
    </w:p>
    <w:p>
      <w:pPr>
        <w:pStyle w:val="EndNoteBibliography"/>
        <w:rPr/>
      </w:pPr>
      <w:r>
        <w:rPr/>
        <w:t>3.</w:t>
        <w:tab/>
        <w:t>Garett R, Smith J, Young SD. A Review of Social Media Technologies Across the Global HIV Care Continuum. Curr Opin Psychol. 2016;9:56-66.</w:t>
      </w:r>
    </w:p>
    <w:p>
      <w:pPr>
        <w:pStyle w:val="EndNoteBibliography"/>
        <w:rPr/>
      </w:pPr>
      <w:r>
        <w:rPr/>
        <w:t>4.</w:t>
        <w:tab/>
        <w:t>Rice E, Monro W, Barman-Adhikari A, Young SD. Internet use, social networking, and HIV/AIDS risk for homeless adolescents. J Adolesc Health. 2010;47(6):610-3.</w:t>
      </w:r>
    </w:p>
    <w:p>
      <w:pPr>
        <w:pStyle w:val="EndNoteBibliography"/>
        <w:rPr/>
      </w:pPr>
      <w:r>
        <w:rPr/>
        <w:t>5.</w:t>
        <w:tab/>
        <w:t>Young SD, Bendavid E. The relationship between HIV testing, stigma, and health service usage. AIDS Care. 2010;22(3):373-80.</w:t>
      </w:r>
    </w:p>
    <w:p>
      <w:pPr>
        <w:pStyle w:val="EndNoteBibliography"/>
        <w:rPr/>
      </w:pPr>
      <w:r>
        <w:rPr/>
        <w:t>6.</w:t>
        <w:tab/>
        <w:t>Young SD, Zhao M, Teiu K, Kwok J, Gill H, Gill N. A social-media based HIV prevention intervention using peer leaders. J Consum Health Internet. 2013;17(4):353-61.</w:t>
      </w:r>
    </w:p>
    <w:p>
      <w:pPr>
        <w:pStyle w:val="EndNoteBibliography"/>
        <w:rPr/>
      </w:pPr>
      <w:r>
        <w:rPr/>
        <w:t>7.</w:t>
        <w:tab/>
        <w:t>Young SD, Cumberland WG, Lee SJ, Jaganath D, Szekeres G, Coates T. Social networking technologies as an emerging tool for HIV prevention: a cluster randomized trial. Ann Intern Med. 2013;159(5):318-24.</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BibliographyTitle" w:customStyle="1">
    <w:name w:val="EndNote Bibliography Title"/>
    <w:basedOn w:val="Normal"/>
    <w:qFormat/>
    <w:rsid w:val="00f54a1c"/>
    <w:pPr>
      <w:jc w:val="center"/>
    </w:pPr>
    <w:rPr>
      <w:rFonts w:ascii="Cambria" w:hAnsi="Cambria"/>
    </w:rPr>
  </w:style>
  <w:style w:type="paragraph" w:styleId="EndNoteBibliography" w:customStyle="1">
    <w:name w:val="EndNote Bibliography"/>
    <w:basedOn w:val="Normal"/>
    <w:qFormat/>
    <w:rsid w:val="00f54a1c"/>
    <w:pPr/>
    <w:rPr>
      <w:rFonts w:ascii="Cambria" w:hAnsi="Cambria"/>
    </w:rPr>
  </w:style>
  <w:style w:type="paragraph" w:styleId="ListParagraph">
    <w:name w:val="List Paragraph"/>
    <w:basedOn w:val="Normal"/>
    <w:uiPriority w:val="34"/>
    <w:qFormat/>
    <w:rsid w:val="002a5b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tientslikeme.com/" TargetMode="External"/><Relationship Id="rId3" Type="http://schemas.openxmlformats.org/officeDocument/2006/relationships/hyperlink" Target="http://www.patientslikem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LibreOffice/5.1.4.2$Linux_X86_64 LibreOffice_project/10m0$Build-2</Application>
  <Pages>3</Pages>
  <Words>1046</Words>
  <CharactersWithSpaces>5967</CharactersWithSpaces>
  <Paragraphs>13</Paragraphs>
  <Company>Emory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2016-08-01T17:15:00Z</dcterms:created>
  <dc:creator>Jane Kelly</dc:creator>
  <dc:description/>
  <dc:language>en-US</dc:language>
  <cp:lastModifiedBy>Jane Kelly</cp:lastModifiedBy>
  <dcterms:modified xsi:type="dcterms:W3CDTF">2016-08-01T18:10:00Z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Emory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