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Implementação e Execução do PROMETA</w:t>
      </w:r>
    </w:p>
    <w:p>
      <w:r>
        <w:rPr>
          <w:b/>
        </w:rPr>
        <w:t>Estrutura operacional baseada no ciclo CRISP-DM</w:t>
      </w:r>
      <w:r>
        <w:t xml:space="preserve"> </w:t>
      </w:r>
      <w:r>
        <w:rPr>
          <w:b/>
        </w:rPr>
        <w:t>Versão 1.0 — documento vivo</w:t>
      </w:r>
    </w:p>
    <w:p>
      <w:r>
        <w:t>Este manual orienta a implementação e a execução do PROMETA. O CRISP-DM organiza o trabalho em seis fases iterativas, dos objetivos científicos à disponibilização dos resultados. Cada fase descreve seu propósito, procedimentos, ferramentas, produtos esperados e verificações para avançar.</w:t>
      </w:r>
    </w:p>
    <w:p>
      <w:r>
        <w:t xml:space="preserve">O caso inicial do PROMETA é a análise de dados públicos de RNA-seq de </w:t>
      </w:r>
      <w:r>
        <w:rPr>
          <w:i/>
        </w:rPr>
        <w:t>Phthorimaea absoluta</w:t>
      </w:r>
      <w:r>
        <w:t xml:space="preserve"> exposta a abamectina, benzoato de emamectina e espinosade. A estrutura poderá ser adaptada a outros problemas biológicos, após revisar os dados, a referência, o desenho experimental e os métodos adequados ao novo contexto.</w:t>
      </w:r>
    </w:p>
    <w:p>
      <w:pPr>
        <w:pStyle w:val="Heading1"/>
      </w:pPr>
      <w:r>
        <w:t>Visão geral do ciclo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1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355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41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355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Aplicação no PROMETA</w:t>
            </w:r>
          </w:p>
        </w:tc>
        <w:tc>
          <w:tcPr>
            <w:tcW w:type="dxa" w:w="35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355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Produto para avançar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1. Compreensão do problema científico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Definir a pergunta, o escopo biológico e o uso dos resultados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Pergunta e critérios de sucesso aprovados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2. Compreensão dos dados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Catalogar SRA, metadados, condições e réplicas; explorar qualidade e comparabilidade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Inventário e relatório exploratório das amostras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3. Preparação dos dados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Processar reads, controlar qualidade, quantificar e preparar matrizes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Quantificações e metadados validados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4. Modelagem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Executar DESeq2 por inseticida e calcular recorrência direcional entre grupos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Resultados diferenciais e núcleo de genes candidatos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5. Avaliação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Verificar validade técnica, estatística e biológica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Resultados aprovados para interpretação e comunicação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6. Implantação e comunicação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Organizar ambiente, scripts, parâmetros e entregáveis para repetição</w:t>
            </w:r>
          </w:p>
        </w:tc>
        <w:tc>
          <w:tcPr>
            <w:tcW w:type="dxa" w:w="33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Execução documentada e pacote de resultados rastreável</w:t>
            </w:r>
          </w:p>
        </w:tc>
      </w:tr>
    </w:tbl>
    <w:p>
      <w:pPr>
        <w:spacing w:after="20" w:before="0"/>
      </w:pPr>
    </w:p>
    <w:p>
      <w:r>
        <w:t>O ciclo é iterativo. Se uma verificação falhar, retorne à fase responsável e atualize os produtos afetados.</w:t>
      </w:r>
    </w:p>
    <w:p>
      <w:pPr>
        <w:pStyle w:val="Heading1"/>
        <w:pageBreakBefore/>
      </w:pPr>
      <w:r>
        <w:t>1. Compreensão do problema científico</w:t>
      </w:r>
    </w:p>
    <w:p>
      <w:pPr>
        <w:pStyle w:val="Heading2"/>
      </w:pPr>
      <w:r>
        <w:t>1.1 Contexto e escopo</w:t>
      </w:r>
    </w:p>
    <w:p>
      <w:r>
        <w:t xml:space="preserve">A análise integra dados públicos de RNA-seq para investigar respostas moleculares de </w:t>
      </w:r>
      <w:r>
        <w:rPr>
          <w:i/>
        </w:rPr>
        <w:t>P. absoluta</w:t>
      </w:r>
      <w:r>
        <w:t xml:space="preserve"> a três inseticidas. A execução inicial contempla os grupos de abamectina, benzoato de emamectina e espinosade. Cada grupo será comparado com seus controles disponíveis, e os resultados serão sintetizados para localizar genes com alterações significativas e direção consistente entre os tratamentos.</w:t>
      </w:r>
    </w:p>
    <w:p>
      <w:pPr>
        <w:pStyle w:val="Heading2"/>
      </w:pPr>
      <w:r>
        <w:t>1.2 Pergunta operacional</w:t>
      </w:r>
    </w:p>
    <w:p>
      <w:r>
        <w:rPr>
          <w:b/>
        </w:rPr>
        <w:t>Quais genes apresentam expressão diferencial entre larvas tratadas e controles em cada grupo de inseticida, e quais mantêm a mesma direção de alteração nos três grupos?</w:t>
      </w:r>
    </w:p>
    <w:p>
      <w:pPr>
        <w:pStyle w:val="Heading2"/>
      </w:pPr>
      <w:r>
        <w:t>1.3 Objetivos de dados</w:t>
      </w:r>
    </w:p>
    <w:p>
      <w:pPr>
        <w:pStyle w:val="ListBullet"/>
      </w:pPr>
      <w:r>
        <w:t>Processar as bibliotecas selecionadas por um fluxo documentado e repetível.</w:t>
      </w:r>
    </w:p>
    <w:p>
      <w:pPr>
        <w:pStyle w:val="ListBullet"/>
      </w:pPr>
      <w:r>
        <w:t>Estimar expressão diferencial entre tratamento e controle separadamente por grupo de inseticida.</w:t>
      </w:r>
    </w:p>
    <w:p>
      <w:pPr>
        <w:pStyle w:val="ListBullet"/>
      </w:pPr>
      <w:r>
        <w:t>Aplicar critérios estatísticos e de magnitude definidos antes da interpretação.</w:t>
      </w:r>
    </w:p>
    <w:p>
      <w:pPr>
        <w:pStyle w:val="ListBullet"/>
      </w:pPr>
      <w:r>
        <w:t>Sintetizar a frequência e a direção das alterações para priorizar genes candidatos.</w:t>
      </w:r>
    </w:p>
    <w:p>
      <w:pPr>
        <w:pStyle w:val="Heading2"/>
      </w:pPr>
      <w:r>
        <w:t>1.4 Critérios de sucesso</w:t>
      </w:r>
    </w:p>
    <w:p>
      <w:pPr>
        <w:pStyle w:val="ListBullet"/>
      </w:pPr>
      <w:r>
        <w:t>Cada biblioteca está associada ao run, condição, inseticida e experimento corretos.</w:t>
      </w:r>
    </w:p>
    <w:p>
      <w:pPr>
        <w:pStyle w:val="ListBullet"/>
      </w:pPr>
      <w:r>
        <w:t>Os controles e réplicas biológicas são adequados para cada comparação.</w:t>
      </w:r>
    </w:p>
    <w:p>
      <w:pPr>
        <w:pStyle w:val="ListBullet"/>
      </w:pPr>
      <w:r>
        <w:t xml:space="preserve">Transcriptoma, índice Salmon e mapa </w:t>
      </w:r>
      <w:r>
        <w:rPr>
          <w:rFonts w:ascii="Consolas" w:hAnsi="Consolas"/>
          <w:color w:val="225470"/>
          <w:sz w:val="18"/>
        </w:rPr>
        <w:t>tx2gene</w:t>
      </w:r>
      <w:r>
        <w:t xml:space="preserve"> são compatíveis.</w:t>
      </w:r>
    </w:p>
    <w:p>
      <w:pPr>
        <w:pStyle w:val="ListBullet"/>
      </w:pPr>
      <w:r>
        <w:t>As três comparações previstas produzem resultados revisáveis ou têm sua indisponibilidade justificada.</w:t>
      </w:r>
    </w:p>
    <w:p>
      <w:pPr>
        <w:pStyle w:val="ListBullet"/>
      </w:pPr>
      <w:r>
        <w:t>Scripts, versões, parâmetros e critérios permitem reproduzir a análise.</w:t>
      </w:r>
    </w:p>
    <w:p>
      <w:pPr>
        <w:pStyle w:val="Heading2"/>
      </w:pPr>
      <w:r>
        <w:t>1.5 Restrições e riscos</w:t>
      </w:r>
    </w:p>
    <w:p>
      <w:r>
        <w:t xml:space="preserve">Os dados públicos podem diferir em população, protocolo, desenho e disponibilidade de controles. O campo </w:t>
      </w:r>
      <w:r>
        <w:rPr>
          <w:rFonts w:ascii="Consolas" w:hAnsi="Consolas"/>
          <w:color w:val="225470"/>
          <w:sz w:val="18"/>
        </w:rPr>
        <w:t>study_id</w:t>
      </w:r>
      <w:r>
        <w:t xml:space="preserve"> do metadado atual contém os nomes dos inseticidas, não os identificadores dos bioprojetos. A estrutura experimental de cada grupo precisa ser conferida antes da execução. A exigência de duas amostras por condição no script é apenas um filtro computacional mínimo; não garante poder estatístico adequado. Genes priorizados são candidatos computacionais e requerem validação independente para conclusões biológicas mais fortes.</w:t>
      </w:r>
    </w:p>
    <w:p>
      <w:pPr>
        <w:pStyle w:val="Heading2"/>
      </w:pPr>
      <w:r>
        <w:t>1.6 Decisões a fechar</w:t>
      </w:r>
    </w:p>
    <w:p>
      <w:pPr>
        <w:pStyle w:val="ListNumber"/>
      </w:pPr>
      <w:r>
        <w:t>Confirmar se cada grupo de inseticida corresponde a um único bioprojeto e experimento.</w:t>
      </w:r>
    </w:p>
    <w:p>
      <w:pPr>
        <w:pStyle w:val="ListNumber"/>
      </w:pPr>
      <w:r>
        <w:t>Confirmar independência das réplicas e comparabilidade dos controles.</w:t>
      </w:r>
    </w:p>
    <w:p>
      <w:pPr>
        <w:pStyle w:val="ListNumber"/>
      </w:pPr>
      <w:r>
        <w:t>Definir a regra para grupos ou genes ausentes em alguma comparação.</w:t>
      </w:r>
    </w:p>
    <w:p>
      <w:pPr>
        <w:pStyle w:val="ListNumber"/>
      </w:pPr>
      <w:r>
        <w:t xml:space="preserve">Manter os critérios atuais de </w:t>
      </w:r>
      <w:r>
        <w:rPr>
          <w:rFonts w:ascii="Consolas" w:hAnsi="Consolas"/>
          <w:color w:val="225470"/>
          <w:sz w:val="18"/>
        </w:rPr>
        <w:t>padj ≤ 0,05</w:t>
      </w:r>
      <w:r>
        <w:t xml:space="preserve"> e </w:t>
      </w:r>
      <w:r>
        <w:rPr>
          <w:rFonts w:ascii="Consolas" w:hAnsi="Consolas"/>
          <w:color w:val="225470"/>
          <w:sz w:val="18"/>
        </w:rPr>
        <w:t>|log2FoldChange| ≥ 1</w:t>
      </w:r>
      <w:r>
        <w:t xml:space="preserve"> ou justificar alterações.</w:t>
      </w:r>
    </w:p>
    <w:p>
      <w:pPr>
        <w:pStyle w:val="ListNumber"/>
      </w:pPr>
      <w:r>
        <w:t>Fixar a fórmula, o nome e a interpretação do score de recorrência.</w:t>
      </w:r>
    </w:p>
    <w:p>
      <w:r>
        <w:rPr>
          <w:b/>
        </w:rPr>
        <w:t>Produto da fase:</w:t>
      </w:r>
      <w:r>
        <w:t xml:space="preserve"> pergunta, escopo, metadados necessários e critérios de sucesso documentados.</w:t>
      </w:r>
    </w:p>
    <w:p>
      <w:r>
        <w:rPr>
          <w:b/>
        </w:rPr>
        <w:t>Avançar quando:</w:t>
      </w:r>
      <w:r>
        <w:t xml:space="preserve"> as unidades amostrais, os grupos de comparação e o significado de “núcleo compartilhado” estiverem definidos.</w:t>
      </w:r>
    </w:p>
    <w:p>
      <w:pPr>
        <w:pStyle w:val="Heading1"/>
        <w:pageBreakBefore/>
      </w:pPr>
      <w:r>
        <w:t>2. Compreensão dos dados</w:t>
      </w:r>
    </w:p>
    <w:p>
      <w:pPr>
        <w:pStyle w:val="Heading2"/>
      </w:pPr>
      <w:r>
        <w:t>2.1 Fontes e composição atual</w:t>
      </w:r>
    </w:p>
    <w:p>
      <w:r>
        <w:t xml:space="preserve">O conjunto inicial contém 26 bibliotecas de RNA-seq do NCBI SRA, associadas aos bioprojetos PRJNA1359366, PRJNA749726 e PRJNA1270399. As bibliotecas correspondem a larvas de </w:t>
      </w:r>
      <w:r>
        <w:rPr>
          <w:i/>
        </w:rPr>
        <w:t>P. absoluta</w:t>
      </w:r>
      <w:r>
        <w:t xml:space="preserve"> em condições controle ou expostas a abamectina, benzoato de emamectina ou espinosade.</w:t>
      </w:r>
    </w:p>
    <w:p>
      <w:r>
        <w:t xml:space="preserve">O arquivo </w:t>
      </w:r>
      <w:r>
        <w:rPr>
          <w:rFonts w:ascii="Consolas" w:hAnsi="Consolas"/>
          <w:color w:val="225470"/>
          <w:sz w:val="18"/>
        </w:rPr>
        <w:t>metadata_geral.csv</w:t>
      </w:r>
      <w:r>
        <w:t xml:space="preserve"> contém uma linha por run e, atualmente, as colunas </w:t>
      </w:r>
      <w:r>
        <w:rPr>
          <w:rFonts w:ascii="Consolas" w:hAnsi="Consolas"/>
          <w:color w:val="225470"/>
          <w:sz w:val="18"/>
        </w:rPr>
        <w:t>sample_id</w:t>
      </w:r>
      <w:r>
        <w:t xml:space="preserve">, </w:t>
      </w:r>
      <w:r>
        <w:rPr>
          <w:rFonts w:ascii="Consolas" w:hAnsi="Consolas"/>
          <w:color w:val="225470"/>
          <w:sz w:val="18"/>
        </w:rPr>
        <w:t>condition</w:t>
      </w:r>
      <w:r>
        <w:t xml:space="preserve"> e </w:t>
      </w:r>
      <w:r>
        <w:rPr>
          <w:rFonts w:ascii="Consolas" w:hAnsi="Consolas"/>
          <w:color w:val="225470"/>
          <w:sz w:val="18"/>
        </w:rPr>
        <w:t>study_id</w:t>
      </w:r>
      <w:r>
        <w:t xml:space="preserve">. Os valores de </w:t>
      </w:r>
      <w:r>
        <w:rPr>
          <w:rFonts w:ascii="Consolas" w:hAnsi="Consolas"/>
          <w:color w:val="225470"/>
          <w:sz w:val="18"/>
        </w:rPr>
        <w:t>condition</w:t>
      </w:r>
      <w:r>
        <w:t xml:space="preserve"> são </w:t>
      </w:r>
      <w:r>
        <w:rPr>
          <w:rFonts w:ascii="Consolas" w:hAnsi="Consolas"/>
          <w:color w:val="225470"/>
          <w:sz w:val="18"/>
        </w:rPr>
        <w:t>control</w:t>
      </w:r>
      <w:r>
        <w:t xml:space="preserve"> e </w:t>
      </w:r>
      <w:r>
        <w:rPr>
          <w:rFonts w:ascii="Consolas" w:hAnsi="Consolas"/>
          <w:color w:val="225470"/>
          <w:sz w:val="18"/>
        </w:rPr>
        <w:t>treatment</w:t>
      </w:r>
      <w:r>
        <w:t xml:space="preserve">; </w:t>
      </w:r>
      <w:r>
        <w:rPr>
          <w:rFonts w:ascii="Consolas" w:hAnsi="Consolas"/>
          <w:color w:val="225470"/>
          <w:sz w:val="18"/>
        </w:rPr>
        <w:t>study_id</w:t>
      </w:r>
      <w:r>
        <w:t xml:space="preserve"> identifica hoje o grupo de inseticida. Antes da análise, verifique se é preciso adicionar colunas como </w:t>
      </w:r>
      <w:r>
        <w:rPr>
          <w:rFonts w:ascii="Consolas" w:hAnsi="Consolas"/>
          <w:color w:val="225470"/>
          <w:sz w:val="18"/>
        </w:rPr>
        <w:t>bioproject_id</w:t>
      </w:r>
      <w:r>
        <w:t xml:space="preserve">, </w:t>
      </w:r>
      <w:r>
        <w:rPr>
          <w:rFonts w:ascii="Consolas" w:hAnsi="Consolas"/>
          <w:color w:val="225470"/>
          <w:sz w:val="18"/>
        </w:rPr>
        <w:t>experiment_id</w:t>
      </w:r>
      <w:r>
        <w:t xml:space="preserve">, </w:t>
      </w:r>
      <w:r>
        <w:rPr>
          <w:rFonts w:ascii="Consolas" w:hAnsi="Consolas"/>
          <w:color w:val="225470"/>
          <w:sz w:val="18"/>
        </w:rPr>
        <w:t>population_id</w:t>
      </w:r>
      <w:r>
        <w:t xml:space="preserve"> e </w:t>
      </w:r>
      <w:r>
        <w:rPr>
          <w:rFonts w:ascii="Consolas" w:hAnsi="Consolas"/>
          <w:color w:val="225470"/>
          <w:sz w:val="18"/>
        </w:rPr>
        <w:t>replicate_id</w:t>
      </w:r>
      <w:r>
        <w:t>. Preserve compatibilidade com os scripts ou atualize-os junto com o esquema de metadados.</w:t>
      </w:r>
    </w:p>
    <w:p>
      <w:pPr>
        <w:pStyle w:val="Heading2"/>
      </w:pPr>
      <w:r>
        <w:t>2.2 Exploração e auditoria</w:t>
      </w:r>
    </w:p>
    <w:p>
      <w:pPr>
        <w:pStyle w:val="ListNumber"/>
      </w:pPr>
      <w:r>
        <w:t xml:space="preserve">Conferir se cada </w:t>
      </w:r>
      <w:r>
        <w:rPr>
          <w:rFonts w:ascii="Consolas" w:hAnsi="Consolas"/>
          <w:color w:val="225470"/>
          <w:sz w:val="18"/>
        </w:rPr>
        <w:t>sample_id</w:t>
      </w:r>
      <w:r>
        <w:t xml:space="preserve"> existe no SRA e se a descrição do registro coincide com os metadados.</w:t>
      </w:r>
    </w:p>
    <w:p>
      <w:pPr>
        <w:pStyle w:val="ListNumber"/>
      </w:pPr>
      <w:r>
        <w:t>Confirmar espécie, estágio, tratamento, controle, layout da biblioteca e número de réplicas.</w:t>
      </w:r>
    </w:p>
    <w:p>
      <w:pPr>
        <w:pStyle w:val="ListNumber"/>
      </w:pPr>
      <w:r>
        <w:t>Contabilizar amostras por inseticida e condição.</w:t>
      </w:r>
    </w:p>
    <w:p>
      <w:pPr>
        <w:pStyle w:val="ListNumber"/>
      </w:pPr>
      <w:r>
        <w:t>Gerar e revisar relatórios de qualidade das reads e quantificações.</w:t>
      </w:r>
    </w:p>
    <w:p>
      <w:pPr>
        <w:pStyle w:val="ListNumber"/>
      </w:pPr>
      <w:r>
        <w:t>Explorar distribuição, correlação e agrupamento das amostras. Use transformação adequada para visualização; não use dados transformados como entrada direta do DESeq2.</w:t>
      </w:r>
    </w:p>
    <w:p>
      <w:pPr>
        <w:pStyle w:val="ListNumber"/>
      </w:pPr>
      <w:r>
        <w:t>Investigar outliers e variação associada a experimento, população ou lote antes de decidir exclusões ou ajustes.</w:t>
      </w:r>
    </w:p>
    <w:p>
      <w:r>
        <w:t>PCA e correlação são ferramentas exploratórias. Elas ajudam a identificar padrões, mas não corrigem automaticamente efeitos de lote e não substituem o modelo estatístico.</w:t>
      </w:r>
    </w:p>
    <w:p>
      <w:pPr>
        <w:pStyle w:val="Heading2"/>
      </w:pPr>
      <w:r>
        <w:t>2.3 Produtos da fase</w:t>
      </w:r>
    </w:p>
    <w:p>
      <w:pPr>
        <w:pStyle w:val="ListBullet"/>
      </w:pPr>
      <w:r>
        <w:t>Inventário com identificadores SRA, bioprojeto, inseticida, condição e layout.</w:t>
      </w:r>
    </w:p>
    <w:p>
      <w:pPr>
        <w:pStyle w:val="ListBullet"/>
      </w:pPr>
      <w:r>
        <w:t>Metadados revisados e contagem de amostras por comparação.</w:t>
      </w:r>
    </w:p>
    <w:p>
      <w:pPr>
        <w:pStyle w:val="ListBullet"/>
      </w:pPr>
      <w:r>
        <w:t>Relatórios FastQC/Trim Galore e registro das amostras com falha ou exclusão.</w:t>
      </w:r>
    </w:p>
    <w:p>
      <w:pPr>
        <w:pStyle w:val="ListBullet"/>
      </w:pPr>
      <w:r>
        <w:t>Descrição dos limites de comparabilidade entre experimentos.</w:t>
      </w:r>
    </w:p>
    <w:p>
      <w:r>
        <w:rPr>
          <w:b/>
        </w:rPr>
        <w:t>Avançar quando:</w:t>
      </w:r>
      <w:r>
        <w:t xml:space="preserve"> metadados, controles, réplicas e correspondência entre run e amostra estiverem auditados.</w:t>
      </w:r>
    </w:p>
    <w:p>
      <w:pPr>
        <w:pStyle w:val="Heading1"/>
        <w:pageBreakBefore/>
      </w:pPr>
      <w:r>
        <w:t>3. Preparação dos dados</w:t>
      </w:r>
    </w:p>
    <w:p>
      <w:pPr>
        <w:pStyle w:val="Heading2"/>
      </w:pPr>
      <w:r>
        <w:t>3.1 Ambiente computacional</w:t>
      </w:r>
    </w:p>
    <w:p>
      <w:r>
        <w:t xml:space="preserve">O ambiente está definido em </w:t>
      </w:r>
      <w:r>
        <w:rPr>
          <w:rFonts w:ascii="Consolas" w:hAnsi="Consolas"/>
          <w:color w:val="225470"/>
          <w:sz w:val="18"/>
        </w:rPr>
        <w:t>environment.yml</w:t>
      </w:r>
      <w:r>
        <w:t xml:space="preserve"> e foi preparado para WSL com Conda, Mamba ou Micromamba. O script </w:t>
      </w:r>
      <w:r>
        <w:rPr>
          <w:rFonts w:ascii="Consolas" w:hAnsi="Consolas"/>
          <w:color w:val="225470"/>
          <w:sz w:val="18"/>
        </w:rPr>
        <w:t>setup_wsl.sh</w:t>
      </w:r>
      <w:r>
        <w:t xml:space="preserve"> configura o ambiente </w:t>
      </w:r>
      <w:r>
        <w:rPr>
          <w:rFonts w:ascii="Consolas" w:hAnsi="Consolas"/>
          <w:color w:val="225470"/>
          <w:sz w:val="18"/>
        </w:rPr>
        <w:t>prometa-rnaseq</w:t>
      </w:r>
      <w:r>
        <w:t xml:space="preserve">; </w:t>
      </w:r>
      <w:r>
        <w:rPr>
          <w:rFonts w:ascii="Consolas" w:hAnsi="Consolas"/>
          <w:color w:val="225470"/>
          <w:sz w:val="18"/>
        </w:rPr>
        <w:t>README_WSL.md</w:t>
      </w:r>
      <w:r>
        <w:t xml:space="preserve"> contém as instruções detalhadas. A execução ocorre em </w:t>
      </w:r>
      <w:r>
        <w:rPr>
          <w:rFonts w:ascii="Consolas" w:hAnsi="Consolas"/>
          <w:color w:val="225470"/>
          <w:sz w:val="18"/>
        </w:rPr>
        <w:t>~/projects/PROMETA</w:t>
      </w:r>
      <w:r>
        <w:t>, onde devem ficar os arquivos grandes e temporários.</w:t>
      </w:r>
    </w:p>
    <w:p>
      <w:pPr>
        <w:pStyle w:val="Heading2"/>
      </w:pPr>
      <w:r>
        <w:t>3.2 Pipeline de reads e quantificação</w:t>
      </w:r>
    </w:p>
    <w:p>
      <w:r>
        <w:t xml:space="preserve">O fluxo configurado em </w:t>
      </w:r>
      <w:r>
        <w:rPr>
          <w:rFonts w:ascii="Consolas" w:hAnsi="Consolas"/>
          <w:color w:val="225470"/>
          <w:sz w:val="18"/>
        </w:rPr>
        <w:t>prometa_pipeline.py</w:t>
      </w:r>
      <w:r>
        <w:t xml:space="preserve"> executa:</w:t>
      </w:r>
    </w:p>
    <w:p>
      <w:pPr>
        <w:pStyle w:val="ListNumber"/>
      </w:pPr>
      <w:r>
        <w:rPr>
          <w:rFonts w:ascii="Consolas" w:hAnsi="Consolas"/>
          <w:color w:val="225470"/>
          <w:sz w:val="18"/>
        </w:rPr>
        <w:t>prefetch</w:t>
      </w:r>
      <w:r>
        <w:t xml:space="preserve"> e </w:t>
      </w:r>
      <w:r>
        <w:rPr>
          <w:rFonts w:ascii="Consolas" w:hAnsi="Consolas"/>
          <w:color w:val="225470"/>
          <w:sz w:val="18"/>
        </w:rPr>
        <w:t>fasterq-dump</w:t>
      </w:r>
      <w:r>
        <w:t>, do SRA Toolkit, para baixar e converter runs em FASTQ.</w:t>
      </w:r>
    </w:p>
    <w:p>
      <w:pPr>
        <w:pStyle w:val="ListNumber"/>
      </w:pPr>
      <w:r>
        <w:t>Trim Galore! com FastQC para trimming e relatórios de qualidade.</w:t>
      </w:r>
    </w:p>
    <w:p>
      <w:pPr>
        <w:pStyle w:val="ListNumber"/>
      </w:pPr>
      <w:r>
        <w:t>Salmon para quantificar transcritos a partir das reads preparadas. O script usa validação de mapeamento e opções de correção de viés de sequência e GC.</w:t>
      </w:r>
    </w:p>
    <w:p>
      <w:pPr>
        <w:pStyle w:val="ListNumber"/>
      </w:pPr>
      <w:r>
        <w:t xml:space="preserve">Registro de logs, status, relatórios e arquivos </w:t>
      </w:r>
      <w:r>
        <w:rPr>
          <w:rFonts w:ascii="Consolas" w:hAnsi="Consolas"/>
          <w:color w:val="225470"/>
          <w:sz w:val="18"/>
        </w:rPr>
        <w:t>quant.sf</w:t>
      </w:r>
      <w:r>
        <w:t xml:space="preserve"> por run.</w:t>
      </w:r>
    </w:p>
    <w:p>
      <w:r>
        <w:t xml:space="preserve">Os resultados são organizados em </w:t>
      </w:r>
      <w:r>
        <w:rPr>
          <w:rFonts w:ascii="Consolas" w:hAnsi="Consolas"/>
          <w:color w:val="225470"/>
          <w:sz w:val="18"/>
        </w:rPr>
        <w:t>sra_bruto/</w:t>
      </w:r>
      <w:r>
        <w:t xml:space="preserve">, </w:t>
      </w:r>
      <w:r>
        <w:rPr>
          <w:rFonts w:ascii="Consolas" w:hAnsi="Consolas"/>
          <w:color w:val="225470"/>
          <w:sz w:val="18"/>
        </w:rPr>
        <w:t>raw_data/</w:t>
      </w:r>
      <w:r>
        <w:t xml:space="preserve">, </w:t>
      </w:r>
      <w:r>
        <w:rPr>
          <w:rFonts w:ascii="Consolas" w:hAnsi="Consolas"/>
          <w:color w:val="225470"/>
          <w:sz w:val="18"/>
        </w:rPr>
        <w:t>quant/</w:t>
      </w:r>
      <w:r>
        <w:t xml:space="preserve">, </w:t>
      </w:r>
      <w:r>
        <w:rPr>
          <w:rFonts w:ascii="Consolas" w:hAnsi="Consolas"/>
          <w:color w:val="225470"/>
          <w:sz w:val="18"/>
        </w:rPr>
        <w:t>logs/</w:t>
      </w:r>
      <w:r>
        <w:t xml:space="preserve"> e </w:t>
      </w:r>
      <w:r>
        <w:rPr>
          <w:rFonts w:ascii="Consolas" w:hAnsi="Consolas"/>
          <w:color w:val="225470"/>
          <w:sz w:val="18"/>
        </w:rPr>
        <w:t>qc/</w:t>
      </w:r>
      <w:r>
        <w:t>. Esses dados intermediários e brutos não devem ser versionados no Git.</w:t>
      </w:r>
    </w:p>
    <w:p>
      <w:pPr>
        <w:pStyle w:val="Heading2"/>
      </w:pPr>
      <w:r>
        <w:t>3.3 Referência e importação para análise por gene</w:t>
      </w:r>
    </w:p>
    <w:p>
      <w:r>
        <w:t xml:space="preserve">Antes de quantificar, confirme que o transcriptoma, o índice Salmon e </w:t>
      </w:r>
      <w:r>
        <w:rPr>
          <w:rFonts w:ascii="Consolas" w:hAnsi="Consolas"/>
          <w:color w:val="225470"/>
          <w:sz w:val="18"/>
        </w:rPr>
        <w:t>reference/tx2gene.csv</w:t>
      </w:r>
      <w:r>
        <w:t xml:space="preserve"> correspondem à mesma espécie e anotação. O script de instalação pode reutilizar uma referência existente de outro projeto; confira os arquivos e os cabeçalhos antes de iniciar a análise.</w:t>
      </w:r>
    </w:p>
    <w:p>
      <w:r>
        <w:t xml:space="preserve">O script </w:t>
      </w:r>
      <w:r>
        <w:rPr>
          <w:rFonts w:ascii="Consolas" w:hAnsi="Consolas"/>
          <w:color w:val="225470"/>
          <w:sz w:val="18"/>
        </w:rPr>
        <w:t>analise_diferencial.R</w:t>
      </w:r>
      <w:r>
        <w:t xml:space="preserve"> importa os arquivos </w:t>
      </w:r>
      <w:r>
        <w:rPr>
          <w:rFonts w:ascii="Consolas" w:hAnsi="Consolas"/>
          <w:color w:val="225470"/>
          <w:sz w:val="18"/>
        </w:rPr>
        <w:t>quant.sf</w:t>
      </w:r>
      <w:r>
        <w:t xml:space="preserve"> por meio do tximport, usando </w:t>
      </w:r>
      <w:r>
        <w:rPr>
          <w:rFonts w:ascii="Consolas" w:hAnsi="Consolas"/>
          <w:color w:val="225470"/>
          <w:sz w:val="18"/>
        </w:rPr>
        <w:t>countsFromAbundance = "lengthScaledTPM"</w:t>
      </w:r>
      <w:r>
        <w:t xml:space="preserve">, </w:t>
      </w:r>
      <w:r>
        <w:rPr>
          <w:rFonts w:ascii="Consolas" w:hAnsi="Consolas"/>
          <w:color w:val="225470"/>
          <w:sz w:val="18"/>
        </w:rPr>
        <w:t>ignoreTxVersion = TRUE</w:t>
      </w:r>
      <w:r>
        <w:t xml:space="preserve"> e o mapeamento </w:t>
      </w:r>
      <w:r>
        <w:rPr>
          <w:rFonts w:ascii="Consolas" w:hAnsi="Consolas"/>
          <w:color w:val="225470"/>
          <w:sz w:val="18"/>
        </w:rPr>
        <w:t>TXNAME</w:t>
      </w:r>
      <w:r>
        <w:t>–</w:t>
      </w:r>
      <w:r>
        <w:rPr>
          <w:rFonts w:ascii="Consolas" w:hAnsi="Consolas"/>
          <w:color w:val="225470"/>
          <w:sz w:val="18"/>
        </w:rPr>
        <w:t>GENEID</w:t>
      </w:r>
      <w:r>
        <w:t>. Essa etapa prepara os dados no nível de gene para a análise diferencial.</w:t>
      </w:r>
    </w:p>
    <w:p>
      <w:pPr>
        <w:pStyle w:val="Heading2"/>
      </w:pPr>
      <w:r>
        <w:t>3.4 Produtos e verificações</w:t>
      </w:r>
    </w:p>
    <w:p>
      <w:pPr>
        <w:pStyle w:val="ListBullet"/>
      </w:pPr>
      <w:r>
        <w:t>FASTQ processados e relatórios de qualidade.</w:t>
      </w:r>
    </w:p>
    <w:p>
      <w:pPr>
        <w:pStyle w:val="ListBullet"/>
      </w:pPr>
      <w:r>
        <w:t>Quantificações Salmon vinculadas aos metadados corretos.</w:t>
      </w:r>
    </w:p>
    <w:p>
      <w:pPr>
        <w:pStyle w:val="ListBullet"/>
      </w:pPr>
      <w:r>
        <w:t xml:space="preserve">Transcriptoma, índice e </w:t>
      </w:r>
      <w:r>
        <w:rPr>
          <w:rFonts w:ascii="Consolas" w:hAnsi="Consolas"/>
          <w:color w:val="225470"/>
          <w:sz w:val="18"/>
        </w:rPr>
        <w:t>tx2gene.csv</w:t>
      </w:r>
      <w:r>
        <w:t xml:space="preserve"> verificados quanto à compatibilidade.</w:t>
      </w:r>
    </w:p>
    <w:p>
      <w:pPr>
        <w:pStyle w:val="ListBullet"/>
      </w:pPr>
      <w:r>
        <w:t>Versões e parâmetros anotados.</w:t>
      </w:r>
    </w:p>
    <w:p>
      <w:pPr>
        <w:pStyle w:val="ListBullet"/>
      </w:pPr>
      <w:r>
        <w:t>Nenhum arquivo SRA, FASTQ, índice grande ou segredo incluído no repositório.</w:t>
      </w:r>
    </w:p>
    <w:p>
      <w:r>
        <w:rPr>
          <w:b/>
        </w:rPr>
        <w:t>Avançar quando:</w:t>
      </w:r>
      <w:r>
        <w:t xml:space="preserve"> todas as bibliotecas incluídas tiverem quantificação válida, metadados coerentes e referência confirmada.</w:t>
      </w:r>
    </w:p>
    <w:p>
      <w:pPr>
        <w:pStyle w:val="Heading1"/>
        <w:pageBreakBefore/>
      </w:pPr>
      <w:r>
        <w:t>4. Modelagem</w:t>
      </w:r>
    </w:p>
    <w:p>
      <w:pPr>
        <w:pStyle w:val="Heading2"/>
      </w:pPr>
      <w:r>
        <w:t>4.1 Expressão diferencial com DESeq2</w:t>
      </w:r>
    </w:p>
    <w:p>
      <w:r>
        <w:t xml:space="preserve">O script </w:t>
      </w:r>
      <w:r>
        <w:rPr>
          <w:rFonts w:ascii="Consolas" w:hAnsi="Consolas"/>
          <w:color w:val="225470"/>
          <w:sz w:val="18"/>
        </w:rPr>
        <w:t>analise_diferencial.R</w:t>
      </w:r>
      <w:r>
        <w:t xml:space="preserve"> percorre os grupos registrados em </w:t>
      </w:r>
      <w:r>
        <w:rPr>
          <w:rFonts w:ascii="Consolas" w:hAnsi="Consolas"/>
          <w:color w:val="225470"/>
          <w:sz w:val="18"/>
        </w:rPr>
        <w:t>study_id</w:t>
      </w:r>
      <w:r>
        <w:t xml:space="preserve"> e compara </w:t>
      </w:r>
      <w:r>
        <w:rPr>
          <w:rFonts w:ascii="Consolas" w:hAnsi="Consolas"/>
          <w:color w:val="225470"/>
          <w:sz w:val="18"/>
        </w:rPr>
        <w:t>treatment</w:t>
      </w:r>
      <w:r>
        <w:t xml:space="preserve"> com </w:t>
      </w:r>
      <w:r>
        <w:rPr>
          <w:rFonts w:ascii="Consolas" w:hAnsi="Consolas"/>
          <w:color w:val="225470"/>
          <w:sz w:val="18"/>
        </w:rPr>
        <w:t>control</w:t>
      </w:r>
      <w:r>
        <w:t xml:space="preserve"> dentro de cada grupo. O desenho atual é </w:t>
      </w:r>
      <w:r>
        <w:rPr>
          <w:rFonts w:ascii="Consolas" w:hAnsi="Consolas"/>
          <w:color w:val="225470"/>
          <w:sz w:val="18"/>
        </w:rPr>
        <w:t>~ condition</w:t>
      </w:r>
      <w:r>
        <w:t xml:space="preserve">. Genes cuja soma das contagens seja inferior a 10 são removidos antes do ajuste. O script requer pelo menos duas amostras em cada condição, executa DESeq2 e salva resultados com log2 fold change, valor-p ajustado e demais estatísticas em </w:t>
      </w:r>
      <w:r>
        <w:rPr>
          <w:rFonts w:ascii="Consolas" w:hAnsi="Consolas"/>
          <w:color w:val="225470"/>
          <w:sz w:val="18"/>
        </w:rPr>
        <w:t>differential_expression/</w:t>
      </w:r>
      <w:r>
        <w:t>.</w:t>
      </w:r>
    </w:p>
    <w:p>
      <w:r>
        <w:t>A análise separada evita combinar diretamente os três inseticidas como se fossem um único tratamento. Se um grupo reunir experimentos distintos ou tiver estrutura de lote, atualize os metadados e o desenho antes de estimar os efeitos.</w:t>
      </w:r>
    </w:p>
    <w:p>
      <w:pPr>
        <w:pStyle w:val="Heading2"/>
      </w:pPr>
      <w:r>
        <w:t>4.2 Critérios de classificação</w:t>
      </w:r>
    </w:p>
    <w:p>
      <w:r>
        <w:t xml:space="preserve">O notebook aplica os critérios </w:t>
      </w:r>
      <w:r>
        <w:rPr>
          <w:rFonts w:ascii="Consolas" w:hAnsi="Consolas"/>
          <w:color w:val="225470"/>
          <w:sz w:val="18"/>
        </w:rPr>
        <w:t>padj ≤ 0,05</w:t>
      </w:r>
      <w:r>
        <w:t xml:space="preserve"> e </w:t>
      </w:r>
      <w:r>
        <w:rPr>
          <w:rFonts w:ascii="Consolas" w:hAnsi="Consolas"/>
          <w:color w:val="225470"/>
          <w:sz w:val="18"/>
        </w:rPr>
        <w:t>|log2FoldChange| ≥ 1</w:t>
      </w:r>
      <w:r>
        <w:t>. Entre os genes que atendem aos dois critérios, o sinal positivo indica indução e o sinal negativo indica repressão. Esses limiares são a configuração atual do repositório; registre qualquer alteração antes de interpretar os resultados.</w:t>
      </w:r>
    </w:p>
    <w:p>
      <w:pPr>
        <w:pStyle w:val="Heading2"/>
      </w:pPr>
      <w:r>
        <w:t>4.3 Síntese de recorrência e definição do core</w:t>
      </w:r>
    </w:p>
    <w:p>
      <w:r>
        <w:t>Para cada gene, o notebook conta em quantos grupos de inseticida ocorre alteração significativa em cada direção:</w:t>
      </w:r>
    </w:p>
    <w:p>
      <w:pPr>
        <w:pStyle w:val="ListBullet"/>
      </w:pPr>
      <w:r>
        <w:rPr>
          <w:rFonts w:ascii="Consolas" w:hAnsi="Consolas"/>
          <w:color w:val="225470"/>
          <w:sz w:val="18"/>
        </w:rPr>
        <w:t>On_Score_UP</w:t>
      </w:r>
      <w:r>
        <w:t>: número de grupos com indução significativa;</w:t>
      </w:r>
    </w:p>
    <w:p>
      <w:pPr>
        <w:pStyle w:val="ListBullet"/>
      </w:pPr>
      <w:r>
        <w:rPr>
          <w:rFonts w:ascii="Consolas" w:hAnsi="Consolas"/>
          <w:color w:val="225470"/>
          <w:sz w:val="18"/>
        </w:rPr>
        <w:t>On_Score_DOWN</w:t>
      </w:r>
      <w:r>
        <w:t>: número de grupos com repressão significativa;</w:t>
      </w:r>
    </w:p>
    <w:p>
      <w:pPr>
        <w:pStyle w:val="ListBullet"/>
      </w:pPr>
      <w:r>
        <w:rPr>
          <w:rFonts w:ascii="Consolas" w:hAnsi="Consolas"/>
          <w:color w:val="225470"/>
          <w:sz w:val="18"/>
        </w:rPr>
        <w:t>Bono_Net_Score</w:t>
      </w:r>
      <w:r>
        <w:t xml:space="preserve">: </w:t>
      </w:r>
      <w:r>
        <w:rPr>
          <w:rFonts w:ascii="Consolas" w:hAnsi="Consolas"/>
          <w:color w:val="225470"/>
          <w:sz w:val="18"/>
        </w:rPr>
        <w:t>On_Score_UP - On_Score_DOWN</w:t>
      </w:r>
      <w:r>
        <w:t>;</w:t>
      </w:r>
    </w:p>
    <w:p>
      <w:pPr>
        <w:pStyle w:val="ListBullet"/>
      </w:pPr>
      <w:r>
        <w:rPr>
          <w:rFonts w:ascii="Consolas" w:hAnsi="Consolas"/>
          <w:color w:val="225470"/>
          <w:sz w:val="18"/>
        </w:rPr>
        <w:t>On_Ratio_UP</w:t>
      </w:r>
      <w:r>
        <w:t xml:space="preserve"> e </w:t>
      </w:r>
      <w:r>
        <w:rPr>
          <w:rFonts w:ascii="Consolas" w:hAnsi="Consolas"/>
          <w:color w:val="225470"/>
          <w:sz w:val="18"/>
        </w:rPr>
        <w:t>On_Ratio_DOWN</w:t>
      </w:r>
      <w:r>
        <w:t>: proporção de grupos com cada direção.</w:t>
      </w:r>
    </w:p>
    <w:p>
      <w:r>
        <w:t xml:space="preserve">O núcleo compartilhado é separado por direção. Com três comparações válidas, </w:t>
      </w:r>
      <w:r>
        <w:rPr>
          <w:rFonts w:ascii="Consolas" w:hAnsi="Consolas"/>
          <w:color w:val="225470"/>
          <w:sz w:val="18"/>
        </w:rPr>
        <w:t>On_Score_UP = 3</w:t>
      </w:r>
      <w:r>
        <w:t xml:space="preserve"> define candidatos do núcleo induzido e </w:t>
      </w:r>
      <w:r>
        <w:rPr>
          <w:rFonts w:ascii="Consolas" w:hAnsi="Consolas"/>
          <w:color w:val="225470"/>
          <w:sz w:val="18"/>
        </w:rPr>
        <w:t>On_Score_DOWN = 3</w:t>
      </w:r>
      <w:r>
        <w:t xml:space="preserve"> define candidatos do núcleo reprimido. Se uma comparação não for válida, não classifique o gene como comum aos três grupos. A forma de tratar genes ausentes ou não testáveis deve ser registrada explicitamente.</w:t>
      </w:r>
    </w:p>
    <w:p>
      <w:pPr>
        <w:pStyle w:val="Heading2"/>
      </w:pPr>
      <w:r>
        <w:t>4.4 Harmonização dos scripts</w:t>
      </w:r>
    </w:p>
    <w:p>
      <w:r>
        <w:t xml:space="preserve">O notebook calcula o score a partir dos resultados diferenciais do DESeq2. O script </w:t>
      </w:r>
      <w:r>
        <w:rPr>
          <w:rFonts w:ascii="Consolas" w:hAnsi="Consolas"/>
          <w:color w:val="225470"/>
          <w:sz w:val="18"/>
        </w:rPr>
        <w:t>analise_meta_bono.py</w:t>
      </w:r>
      <w:r>
        <w:t xml:space="preserve"> calcula uma rota alternativa diretamente das médias de TPM, com pseudocontagem e limiar de log2-ratio, sem filtrar por </w:t>
      </w:r>
      <w:r>
        <w:rPr>
          <w:rFonts w:ascii="Consolas" w:hAnsi="Consolas"/>
          <w:color w:val="225470"/>
          <w:sz w:val="18"/>
        </w:rPr>
        <w:t>padj</w:t>
      </w:r>
      <w:r>
        <w:t>. Essas rotas não são equivalentes. Use o caminho DESeq2 → critérios de classificação → score de recorrência como fluxo de referência. Atualize o script Python para corresponder a esse fluxo ou não o use na execução canônica.</w:t>
      </w:r>
    </w:p>
    <w:p>
      <w:pPr>
        <w:pStyle w:val="Heading2"/>
      </w:pPr>
      <w:r>
        <w:t>4.5 Anotação funcional</w:t>
      </w:r>
    </w:p>
    <w:p>
      <w:r>
        <w:t>A anotação funcional prevista usa DIAMOND blastx contra Swiss-Prot. Registre a versão da ferramenta e do banco, os parâmetros de busca e a regra para selecionar correspondências. Mantenha identificadores originais dos genes para permitir relacionar as anotações às saídas do DESeq2 e do score.</w:t>
      </w:r>
    </w:p>
    <w:p>
      <w:r>
        <w:rPr>
          <w:b/>
        </w:rPr>
        <w:t>Produtos da fase:</w:t>
      </w:r>
      <w:r>
        <w:t xml:space="preserve"> resultados diferenciais por inseticida, tabela de direção e recorrência por gene, listas do core induzido/reprimido e anotações funcionais.</w:t>
      </w:r>
    </w:p>
    <w:p>
      <w:pPr>
        <w:pStyle w:val="Heading1"/>
        <w:pageBreakBefore/>
      </w:pPr>
      <w:r>
        <w:t>5. Avaliação</w:t>
      </w:r>
    </w:p>
    <w:p>
      <w:pPr>
        <w:pStyle w:val="Heading2"/>
      </w:pPr>
      <w:r>
        <w:t>5.1 Verificação técnica</w:t>
      </w:r>
    </w:p>
    <w:p>
      <w:pPr>
        <w:pStyle w:val="ListBullet"/>
      </w:pPr>
      <w:r>
        <w:t>Todas as amostras esperadas foram processadas ou tiveram sua exclusão justificada.</w:t>
      </w:r>
    </w:p>
    <w:p>
      <w:pPr>
        <w:pStyle w:val="ListBullet"/>
      </w:pPr>
      <w:r>
        <w:t>Quantificações, metadados e identificadores coincidem.</w:t>
      </w:r>
    </w:p>
    <w:p>
      <w:pPr>
        <w:pStyle w:val="ListBullet"/>
      </w:pPr>
      <w:r>
        <w:t>Scripts, parâmetros e versões estão registrados.</w:t>
      </w:r>
    </w:p>
    <w:p>
      <w:pPr>
        <w:pStyle w:val="ListBullet"/>
      </w:pPr>
      <w:r>
        <w:t>Uma nova execução com as mesmas entradas gera saídas equivalentes.</w:t>
      </w:r>
    </w:p>
    <w:p>
      <w:pPr>
        <w:pStyle w:val="Heading2"/>
      </w:pPr>
      <w:r>
        <w:t>5.2 Verificação estatística</w:t>
      </w:r>
    </w:p>
    <w:p>
      <w:pPr>
        <w:pStyle w:val="ListBullet"/>
      </w:pPr>
      <w:r>
        <w:t>Confirme o número de réplicas biológicas independentes por grupo.</w:t>
      </w:r>
    </w:p>
    <w:p>
      <w:pPr>
        <w:pStyle w:val="ListBullet"/>
      </w:pPr>
      <w:r>
        <w:t>Revise os contrastes tratamento-controle e o fator de desenho.</w:t>
      </w:r>
    </w:p>
    <w:p>
      <w:pPr>
        <w:pStyle w:val="ListBullet"/>
      </w:pPr>
      <w:r>
        <w:t>Verifique genes filtrados, valores ausentes e valores ajustados.</w:t>
      </w:r>
    </w:p>
    <w:p>
      <w:pPr>
        <w:pStyle w:val="ListBullet"/>
      </w:pPr>
      <w:r>
        <w:t>Recalcule os scores a partir dos resultados diferenciais e confirme os denominadores usados nos On-Ratios.</w:t>
      </w:r>
    </w:p>
    <w:p>
      <w:pPr>
        <w:pStyle w:val="ListBullet"/>
      </w:pPr>
      <w:r>
        <w:t>Examine a estabilidade do core diante de escolhas justificadas de limiares.</w:t>
      </w:r>
    </w:p>
    <w:p>
      <w:pPr>
        <w:pStyle w:val="Heading2"/>
      </w:pPr>
      <w:r>
        <w:t>5.3 Verificação biológica e limitações</w:t>
      </w:r>
    </w:p>
    <w:p>
      <w:r>
        <w:t>Compare os genes priorizados com a anotação e com evidências confiáveis sobre resposta a xenobióticos, detoxificação e estresse oxidativo. Diferencie recorrência estatística de confirmação funcional. A análise computacional prioriza candidatos; não comprova causalidade nem substitui validação experimental.</w:t>
      </w:r>
    </w:p>
    <w:p>
      <w:r>
        <w:rPr>
          <w:b/>
        </w:rPr>
        <w:t>Avançar para comunicação quando:</w:t>
      </w:r>
      <w:r>
        <w:t xml:space="preserve"> os resultados forem reproduzíveis, os critérios do core estiverem aplicados de forma consistente e as limitações dos dados estiverem documentadas.</w:t>
      </w:r>
    </w:p>
    <w:p>
      <w:pPr>
        <w:pStyle w:val="Heading1"/>
        <w:pageBreakBefore/>
      </w:pPr>
      <w:r>
        <w:t>6. Implantação e comunicação</w:t>
      </w:r>
    </w:p>
    <w:p>
      <w:pPr>
        <w:pStyle w:val="Heading2"/>
      </w:pPr>
      <w:r>
        <w:t>6.1 Execução operacional</w:t>
      </w:r>
    </w:p>
    <w:p>
      <w:pPr>
        <w:pStyle w:val="ListNumber"/>
      </w:pPr>
      <w:r>
        <w:t xml:space="preserve">No WSL, acesse a pasta do projeto e execute </w:t>
      </w:r>
      <w:r>
        <w:rPr>
          <w:rFonts w:ascii="Consolas" w:hAnsi="Consolas"/>
          <w:color w:val="225470"/>
          <w:sz w:val="18"/>
        </w:rPr>
        <w:t>setup_wsl.sh</w:t>
      </w:r>
      <w:r>
        <w:t xml:space="preserve"> conforme </w:t>
      </w:r>
      <w:r>
        <w:rPr>
          <w:rFonts w:ascii="Consolas" w:hAnsi="Consolas"/>
          <w:color w:val="225470"/>
          <w:sz w:val="18"/>
        </w:rPr>
        <w:t>README_WSL.md</w:t>
      </w:r>
      <w:r>
        <w:t>.</w:t>
      </w:r>
    </w:p>
    <w:p>
      <w:pPr>
        <w:pStyle w:val="ListNumber"/>
      </w:pPr>
      <w:r>
        <w:t xml:space="preserve">Confira metadados, referência Salmon e </w:t>
      </w:r>
      <w:r>
        <w:rPr>
          <w:rFonts w:ascii="Consolas" w:hAnsi="Consolas"/>
          <w:color w:val="225470"/>
          <w:sz w:val="18"/>
        </w:rPr>
        <w:t>tx2gene.csv</w:t>
      </w:r>
      <w:r>
        <w:t>.</w:t>
      </w:r>
    </w:p>
    <w:p>
      <w:pPr>
        <w:pStyle w:val="ListNumber"/>
      </w:pPr>
      <w:r>
        <w:t xml:space="preserve">Execute </w:t>
      </w:r>
      <w:r>
        <w:rPr>
          <w:rFonts w:ascii="Consolas" w:hAnsi="Consolas"/>
          <w:color w:val="225470"/>
          <w:sz w:val="18"/>
        </w:rPr>
        <w:t>prometa_pipeline.py</w:t>
      </w:r>
      <w:r>
        <w:t xml:space="preserve"> para obter, preparar e quantificar as bibliotecas.</w:t>
      </w:r>
    </w:p>
    <w:p>
      <w:pPr>
        <w:pStyle w:val="ListNumber"/>
      </w:pPr>
      <w:r>
        <w:t xml:space="preserve">Execute </w:t>
      </w:r>
      <w:r>
        <w:rPr>
          <w:rFonts w:ascii="Consolas" w:hAnsi="Consolas"/>
          <w:color w:val="225470"/>
          <w:sz w:val="18"/>
        </w:rPr>
        <w:t>analise_diferencial.R</w:t>
      </w:r>
      <w:r>
        <w:t xml:space="preserve"> para obter as comparações tratamento-controle por inseticida.</w:t>
      </w:r>
    </w:p>
    <w:p>
      <w:pPr>
        <w:pStyle w:val="ListNumber"/>
      </w:pPr>
      <w:r>
        <w:t>Execute a etapa do notebook que calcula On-Scores, On-Ratios e o core compartilhado.</w:t>
      </w:r>
    </w:p>
    <w:p>
      <w:pPr>
        <w:pStyle w:val="ListNumber"/>
      </w:pPr>
      <w:r>
        <w:t>Revise os relatórios e salve as versões, parâmetros, logs e decisões da execução.</w:t>
      </w:r>
    </w:p>
    <w:p>
      <w:pPr>
        <w:pStyle w:val="Heading2"/>
      </w:pPr>
      <w:r>
        <w:t>6.2 Pacote de resultados</w:t>
      </w:r>
    </w:p>
    <w:p>
      <w:r>
        <w:t>Organize os resultados em tabelas e relatórios legíveis, acompanhados dos identificadores SRA, metadados, versões, parâmetros e logs relevantes. Mantenha FASTQ, arquivos SRA, índices e intermediários fora do Git. O repositório deve conter o código, o ambiente, a documentação e apenas os metadados apropriados para compartilhamento.</w:t>
      </w:r>
    </w:p>
    <w:p>
      <w:pPr>
        <w:pStyle w:val="Heading2"/>
      </w:pPr>
      <w:r>
        <w:t>6.3 Reuso do fluxo</w:t>
      </w:r>
    </w:p>
    <w:p>
      <w:r>
        <w:t>Para aplicar o PROMETA a outra espécie ou pergunta biológica, reinicie o ciclo a partir da compreensão do problema. Reavalie os metadados, a referência, o desenho, as etapas de preparação, o modelo estatístico e os critérios de validação. O funcionamento neste caso agrícola não valida automaticamente o fluxo em outros sistemas, como dados clínicos ou estudos de doenças.</w:t>
      </w:r>
    </w:p>
    <w:p>
      <w:pPr>
        <w:pStyle w:val="Heading1"/>
      </w:pPr>
      <w:r>
        <w:t>Glossário operacional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23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355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B355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Uso neste manual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BioProject</w:t>
            </w:r>
          </w:p>
        </w:tc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Registro que agrupa dados de um projeto no NCBI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Réplica biológica</w:t>
            </w:r>
          </w:p>
        </w:tc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Unidade biológica independente representada por uma amostra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DESeq2</w:t>
            </w:r>
          </w:p>
        </w:tc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Pacote R usado para estimar expressão diferencial a partir de dados de RNA-seq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225470"/>
                <w:sz w:val="17"/>
              </w:rPr>
              <w:t>padj</w:t>
            </w:r>
          </w:p>
        </w:tc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Valor-p ajustado para testes múltiplos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225470"/>
                <w:sz w:val="17"/>
              </w:rPr>
              <w:t>log2FoldChange</w:t>
            </w:r>
          </w:p>
        </w:tc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Magnitude e direção da diferença de expressão em escala logarítmica base 2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Core compartilhado</w:t>
            </w:r>
          </w:p>
        </w:tc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Genes que atendem aos critérios de significância e direção nos três grupos de inseticidas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Candidato</w:t>
            </w:r>
          </w:p>
        </w:tc>
        <w:tc>
          <w:tcPr>
            <w:tcW w:type="dxa" w:w="4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0F4F8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7"/>
              </w:rPr>
              <w:t>Gene priorizado para investigação posterior, ainda sem validação experimental implícita</w:t>
            </w:r>
          </w:p>
        </w:tc>
      </w:tr>
    </w:tbl>
    <w:p>
      <w:pPr>
        <w:spacing w:after="20" w:before="0"/>
      </w:pP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color w:val="6E7985"/>
        <w:sz w:val="16"/>
      </w:rPr>
      <w:t xml:space="preserve">PROMETA  |  Manual CRISP-DM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A34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35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868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374D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B355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Implementação e Execução do PROMETA</dc:title>
  <dc:subject>Estrutura operacional do PROMETA baseada no CRISP-DM</dc:subject>
  <dc:creator>PROMETA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