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f5b47002a46f46da" /></Relationships>
</file>

<file path=word/document.xml><?xml version="1.0" encoding="utf-8"?>
<w:document xmlns:r="http://schemas.openxmlformats.org/officeDocument/2006/relationships" xmlns:w="http://schemas.openxmlformats.org/wordprocessingml/2006/main">
  <w:body>
    <w:p>
      <w:pPr>
        <w:spacing w:before="400" w:after="400"/>
        <w:jc w:val="center"/>
      </w:pPr>
      <w:r>
        <w:rPr>
          <w:b/>
          <w:color w:val="2B579A"/>
          <w:sz w:val="56"/>
        </w:rPr>
        <w:t>Getting Started Guide</w:t>
      </w:r>
    </w:p>
    <w:p>
      <w:r>
        <w:t>Welcome to the Autodesk Publishing Experience. Whether you're a cloud developer, desktop developer; whether you're new or have published here before; whether you're publishing an app, widget, add-on or plugin. We've created this getting started guide so that you can publish your tool with ease and confidence!</w:t>
      </w:r>
    </w:p>
    <w:p>
      <w:r>
        <w:t>You will be asked to </w:t>
      </w:r>
    </w:p>
    <w:p>
      <w:pPr>
        <w:pStyle w:val="Heading1"/>
      </w:pPr>
      <w:r>
        <w:t>What You Need to Get Started</w:t>
      </w:r>
    </w:p>
    <w:p>
      <w:pPr>
        <w:pStyle w:val="Heading2"/>
      </w:pPr>
      <w:r>
        <w:t>Web App Checklist</w:t>
      </w:r>
    </w:p>
    <w:p>
      <w:pPr>
        <w:ind w:left="720" w:hanging="360"/>
      </w:pPr>
      <w:r>
        <w:rPr>
          <w:color w:val="0696D7"/>
        </w:rPr>
        <w:t xml:space="preserve">• </w:t>
      </w:r>
      <w:r>
        <w:t>Review Autodesk App Store Product Guidelines</w:t>
      </w:r>
    </w:p>
    <w:p>
      <w:pPr>
        <w:ind w:left="720" w:hanging="360"/>
      </w:pPr>
      <w:r>
        <w:rPr>
          <w:color w:val="0696D7"/>
        </w:rPr>
        <w:t xml:space="preserve">• </w:t>
      </w:r>
      <w:r>
        <w:t>PayPal account and price (if charging). View PayPal setup guide</w:t>
      </w:r>
    </w:p>
    <w:p>
      <w:pPr>
        <w:ind w:left="720" w:hanging="360"/>
      </w:pPr>
      <w:r>
        <w:rPr>
          <w:color w:val="0696D7"/>
        </w:rPr>
        <w:t xml:space="preserve">• </w:t>
      </w:r>
      <w:r>
        <w:t>Publisher Privacy Policy (provide URL). Learn more</w:t>
      </w:r>
    </w:p>
    <w:p>
      <w:pPr>
        <w:ind w:left="720" w:hanging="360"/>
      </w:pPr>
      <w:r>
        <w:rPr>
          <w:color w:val="0696D7"/>
        </w:rPr>
        <w:t xml:space="preserve">• </w:t>
      </w:r>
      <w:r>
        <w:t>APS Client ID (If your app is compatible with ACC and/or BIM 360 products). Learn more</w:t>
      </w:r>
    </w:p>
    <w:p>
      <w:pPr>
        <w:ind w:left="720" w:hanging="360"/>
      </w:pPr>
      <w:r>
        <w:rPr>
          <w:color w:val="0696D7"/>
        </w:rPr>
        <w:t xml:space="preserve">• </w:t>
      </w:r>
      <w:r>
        <w:t>IPN Listener URL (optional). Learn more</w:t>
      </w:r>
    </w:p>
    <w:p>
      <w:pPr>
        <w:ind w:left="720" w:hanging="360"/>
      </w:pPr>
      <w:r>
        <w:rPr>
          <w:color w:val="0696D7"/>
        </w:rPr>
        <w:t xml:space="preserve">• </w:t>
      </w:r>
      <w:r>
        <w:t>App ID (Optional - if utilizing Autodesk entitlement API). Learn more</w:t>
      </w:r>
    </w:p>
    <w:p>
      <w:pPr>
        <w:pStyle w:val="Heading2"/>
      </w:pPr>
      <w:r>
        <w:t>Desktop App Checklist</w:t>
      </w:r>
    </w:p>
    <w:p>
      <w:pPr>
        <w:ind w:left="720" w:hanging="360"/>
      </w:pPr>
      <w:r>
        <w:rPr>
          <w:color w:val="0696D7"/>
        </w:rPr>
        <w:t xml:space="preserve">• </w:t>
      </w:r>
      <w:r>
        <w:t>Review Autodesk App Store Product Guidelines</w:t>
      </w:r>
    </w:p>
    <w:p>
      <w:pPr>
        <w:ind w:left="720" w:hanging="360"/>
      </w:pPr>
      <w:r>
        <w:rPr>
          <w:color w:val="0696D7"/>
        </w:rPr>
        <w:t xml:space="preserve">• </w:t>
      </w:r>
      <w:r>
        <w:t>PayPal account and price (if charging). View PayPal setup guide</w:t>
      </w:r>
    </w:p>
    <w:p>
      <w:pPr>
        <w:ind w:left="720" w:hanging="360"/>
      </w:pPr>
      <w:r>
        <w:rPr>
          <w:color w:val="0696D7"/>
        </w:rPr>
        <w:t xml:space="preserve">• </w:t>
      </w:r>
      <w:r>
        <w:t>Publisher Privacy Policy (provide URL). Learn more</w:t>
      </w:r>
    </w:p>
    <w:p>
      <w:pPr>
        <w:ind w:left="720" w:hanging="360"/>
      </w:pPr>
      <w:r>
        <w:rPr>
          <w:color w:val="0696D7"/>
        </w:rPr>
        <w:t xml:space="preserve">• </w:t>
      </w:r>
      <w:r>
        <w:t>IPN Listener URL (optional). Learn more</w:t>
      </w:r>
    </w:p>
    <w:p>
      <w:pPr>
        <w:ind w:left="720" w:hanging="360"/>
      </w:pPr>
      <w:r>
        <w:rPr>
          <w:color w:val="0696D7"/>
        </w:rPr>
        <w:t xml:space="preserve">• </w:t>
      </w:r>
      <w:r>
        <w:t>App ID (Optional - if utilizing Autodesk entitlement API). Learn more</w:t>
      </w:r>
    </w:p>
    <w:p>
      <w:pPr>
        <w:ind w:left="720" w:hanging="360"/>
      </w:pPr>
      <w:r>
        <w:rPr>
          <w:color w:val="0696D7"/>
        </w:rPr>
        <w:t xml:space="preserve">• </w:t>
      </w:r>
      <w:r>
        <w:t>APS Client ID (If your app is compatible with ACC and/or BIM 360 products). Learn more</w:t>
      </w:r>
    </w:p>
    <w:p>
      <w:pPr>
        <w:pStyle w:val="Heading1"/>
      </w:pPr>
      <w:r>
        <w:t>Steps and Timing</w:t>
      </w:r>
    </w:p>
    <w:p>
      <w:pPr>
        <w:pStyle w:val="Heading2"/>
      </w:pPr>
      <w:r>
        <w:t>1. Set Up Your Account and Profile</w:t>
      </w:r>
    </w:p>
    <w:p>
      <w:r>
        <w:t>Create an account and profile, including company and/or individual information, permissions, and payment options. This is where you'll submit all the information you'll need to become a publisher.</w:t>
      </w:r>
    </w:p>
    <w:p>
      <w:pPr>
        <w:pStyle w:val="Heading2"/>
      </w:pPr>
      <w:r>
        <w:t>2. Enter and Submit Your App Info</w:t>
      </w:r>
    </w:p>
    <w:p>
      <w:r>
        <w:t>Provide basic information like your app's Title, Type (web-based or desktop-based) and/or Program (Add-on, Extension, Plugin), OS, as well as your Forge API Client ID or your cloud product URL, and assets (description, photos, video, etc.). Then click submit and we'll get back to you within 24 hours with next steps.</w:t>
      </w:r>
    </w:p>
    <w:p>
      <w:pPr>
        <w:pStyle w:val="Heading2"/>
      </w:pPr>
      <w:r>
        <w:t>3. App Review</w:t>
      </w:r>
    </w:p>
    <w:p>
      <w:r>
        <w:t>App Store team will perform initial review on your submission to determine suitability to be included in Autodesk App Store. We will communicate via email to provide feedback and/or request for missing items as soon as possible. If your submission is accepted, Autodesk will create the final "package file" that customers will download from Autodesk App Store and contact you to review the final package file.</w:t>
      </w:r>
    </w:p>
    <w:p>
      <w:pPr>
        <w:pStyle w:val="Heading2"/>
      </w:pPr>
      <w:r>
        <w:t>4. Manage Your App</w:t>
      </w:r>
    </w:p>
    <w:p>
      <w:r>
        <w:t>After the app is published, you can adjust the version, language, title, or assets. And, you can even base those changes on insights gleaned from your personalized dashboard.</w:t>
      </w:r>
    </w:p>
    <w:p>
      <w:pPr>
        <w:pStyle w:val="Heading1"/>
      </w:pPr>
      <w:r>
        <w:t>Autodesk Developer Network</w:t>
      </w:r>
    </w:p>
    <w:p>
      <w:r>
        <w:t>The Developer Center contains information to help you create or modify your apps to integrate with the simple Autodesk App Store requirements and technical guidelines designed to give App Store customers a consistent user experience and to speed your product through the approval process.</w:t>
      </w:r>
    </w:p>
    <w:p>
      <w:pPr>
        <w:pStyle w:val="Heading2"/>
      </w:pPr>
      <w:r>
        <w:t>What Can Be Published in Autodesk App Store</w:t>
      </w:r>
    </w:p>
    <w:p>
      <w:r>
        <w:t>Learn more about how Autodesk will evaluate your product for suitability to be carried in Autodesk App Store in the product guidelines.</w:t>
      </w:r>
    </w:p>
    <w:p>
      <w:pPr>
        <w:pStyle w:val="Heading2"/>
      </w:pPr>
      <w:r>
        <w:t>Payment Setup</w:t>
      </w:r>
    </w:p>
    <w:p>
      <w:r>
        <w:t>You will need a PayPal account if you will be selling products in Autodesk App Store for a fee. You do not need a PayPal account for trial and free products.</w:t>
      </w:r>
    </w:p>
    <w:p>
      <w:pPr>
        <w:pStyle w:val="Heading2"/>
      </w:pPr>
      <w:r>
        <w:t>IPN Handler</w:t>
      </w:r>
    </w:p>
    <w:p>
      <w:r>
        <w:t>If you wish to receive the IPN notifications for Free and Trials apps you can select the relevant option according to the app type (i.e. Free or Trial). Visit the link below to learn about how Exchange IPN Listener works and how to create an IPN Listener.</w:t>
      </w:r>
    </w:p>
    <w:p>
      <w:pPr>
        <w:pStyle w:val="Heading2"/>
      </w:pPr>
      <w:r>
        <w:t>Entitlement API for Desktop App</w:t>
      </w:r>
    </w:p>
    <w:p>
      <w:r>
        <w:t>The Entitlement API service exposes a REST based "checkentitlement" API that you can use to identify whether a user has an 'entitlement' to use your App or not.</w:t>
      </w:r>
    </w:p>
    <w:p>
      <w:pPr>
        <w:pStyle w:val="Heading2"/>
      </w:pPr>
      <w:r>
        <w:t>APS Client ID</w:t>
      </w:r>
    </w:p>
    <w:p>
      <w:r>
        <w:t>App compatible with ACC and/or BIM 360 products requires accessing APS APIs. The APS Client ID can be found in the APS Developer Portal My Apps section. Please provide the Client ID you would like to use in Production.</w:t>
      </w:r>
    </w:p>
    <w:p>
      <w:pPr>
        <w:pStyle w:val="Heading1"/>
      </w:pPr>
      <w:r>
        <w:t>Publisher Privacy Policy</w:t>
      </w:r>
    </w:p>
    <w:p>
      <w:r>
        <w:t>Each and every App must include a link to the applicable privacy policy in the App description page and within the App in an easily accessible manner. In addition, Publisher must include the text of the applicable privacy policy within the App itself.</w:t>
      </w:r>
    </w:p>
    <w:p>
      <w:r>
        <w:t>The privacy policy must clearly and expressly do the following:</w:t>
      </w:r>
    </w:p>
    <w:p>
      <w:pPr>
        <w:numPr>
          <w:ilvl w:val="0"/>
          <w:numId w:val="1"/>
        </w:numPr>
      </w:pPr>
      <w:r>
        <w:t>Identify and describe the data, if any, that the App collects, how that data is collected, and all uses of that data</w:t>
      </w:r>
    </w:p>
    <w:p>
      <w:pPr>
        <w:numPr>
          <w:ilvl w:val="0"/>
          <w:numId w:val="1"/>
        </w:numPr>
      </w:pPr>
      <w:r>
        <w:t>Confirm that any third party with whom an App shares that data will provide the same protection of that data as stated in the App's privacy policy. Examples of such third parties are analytics tools, advertising networks and third-party SDKs, as well as legal affiliates of the Publisher (parent, subsidiary, related entities)</w:t>
      </w:r>
    </w:p>
    <w:p>
      <w:pPr>
        <w:numPr>
          <w:ilvl w:val="0"/>
          <w:numId w:val="1"/>
        </w:numPr>
      </w:pPr>
      <w:r>
        <w:t>Explain Publisher's data retention and deletion policies</w:t>
      </w:r>
    </w:p>
    <w:p>
      <w:pPr>
        <w:numPr>
          <w:ilvl w:val="0"/>
          <w:numId w:val="1"/>
        </w:numPr>
      </w:pPr>
      <w:r>
        <w:t>Describe how end users can revoke consent and/or request deletion of their data</w:t>
      </w:r>
    </w:p>
    <w:p>
      <w:pPr>
        <w:pStyle w:val="Heading1"/>
      </w:pPr>
      <w:r>
        <w:t>Publisher FAQ</w:t>
      </w:r>
    </w:p>
    <w:p>
      <w:r>
        <w:t>Answers to the most common questions asked by Autodesk App Store publishers.</w:t>
      </w:r>
    </w:p>
    <w:p>
      <w:pPr>
        <w:pStyle w:val="Heading1"/>
      </w:pPr>
      <w:r>
        <w:t>Apps Ideas Exchange</w:t>
      </w:r>
    </w:p>
    <w:p>
      <w:r>
        <w:t>Find out what apps are requested by Autodesk users. Visit Autodesk Idea Station to discover new app ideas and opportunities.</w:t>
      </w:r>
    </w:p>
    <w:p>
      <w:pPr>
        <w:pStyle w:val="Heading1"/>
      </w:pPr>
      <w:r>
        <w:t>Other Resources</w:t>
      </w:r>
    </w:p>
    <w:tbl>
      <w:tblPr>
        <w:tblW w:w="5000" w:type="pct"/>
        <w:tblBorders>
          <w:top w:val="single" w:color="2B579A" w:sz="8"/>
          <w:left w:val="nil"/>
          <w:bottom w:val="single" w:color="2B579A" w:sz="8"/>
          <w:right w:val="nil"/>
          <w:insideH w:val="single" w:color="CCCCCC" w:sz="4"/>
          <w:insideV w:val="nil"/>
        </w:tblBorders>
        <w:tblCellMar>
          <w:top w:w="100" w:type="dxa"/>
          <w:left w:w="150" w:type="dxa"/>
          <w:bottom w:w="100" w:type="dxa"/>
          <w:right w:w="150" w:type="dxa"/>
        </w:tblCellMar>
      </w:tblPr>
      <w:tblGrid>
        <w:gridCol w:w="5000"/>
        <w:gridCol w:w="5000"/>
      </w:tblGrid>
      <w:tr>
        <w:trPr>
          <w:tblHeader/>
        </w:trPr>
        <w:tc>
          <w:tcPr>
            <w:tcW w:w="5000" w:type="dxa"/>
            <w:shd w:val="clear" w:fill="E8F1F8"/>
            <w:vAlign w:val="center"/>
          </w:tcPr>
          <w:p>
            <w:pPr>
              <w:spacing w:before="0" w:after="0"/>
            </w:pPr>
            <w:r>
              <w:rPr>
                <w:b/>
                <w:color w:val="333333"/>
                <w:sz w:val="21"/>
              </w:rPr>
              <w:t>Resource</w:t>
            </w:r>
          </w:p>
        </w:tc>
        <w:tc>
          <w:tcPr>
            <w:tcW w:w="5000" w:type="dxa"/>
            <w:shd w:val="clear" w:fill="E8F1F8"/>
            <w:vAlign w:val="center"/>
          </w:tcPr>
          <w:p>
            <w:pPr>
              <w:spacing w:before="0" w:after="0"/>
            </w:pPr>
            <w:r>
              <w:rPr>
                <w:b/>
                <w:color w:val="333333"/>
                <w:sz w:val="21"/>
              </w:rPr>
              <w:t>Description</w:t>
            </w:r>
          </w:p>
        </w:tc>
      </w:tr>
      <w:tr>
        <w:tc>
          <w:tcPr>
            <w:tcW w:w="5000" w:type="dxa"/>
            <w:vAlign w:val="center"/>
          </w:tcPr>
          <w:p>
            <w:pPr>
              <w:spacing w:before="0" w:after="0"/>
            </w:pPr>
            <w:r>
              <w:rPr>
                <w:color w:val="333333"/>
                <w:sz w:val="21"/>
              </w:rPr>
              <w:t>Autodesk Developer Network</w:t>
            </w:r>
          </w:p>
        </w:tc>
        <w:tc>
          <w:tcPr>
            <w:tcW w:w="5000" w:type="dxa"/>
            <w:vAlign w:val="center"/>
          </w:tcPr>
          <w:p>
            <w:pPr>
              <w:spacing w:before="0" w:after="0"/>
            </w:pPr>
            <w:r>
              <w:rPr>
                <w:color w:val="333333"/>
                <w:sz w:val="21"/>
              </w:rPr>
              <w:t>Join for professional support and resources</w:t>
            </w:r>
          </w:p>
        </w:tc>
      </w:tr>
      <w:tr>
        <w:tc>
          <w:tcPr>
            <w:tcW w:w="5000" w:type="dxa"/>
            <w:vAlign w:val="center"/>
          </w:tcPr>
          <w:p>
            <w:pPr>
              <w:spacing w:before="0" w:after="0"/>
            </w:pPr>
            <w:r>
              <w:rPr>
                <w:color w:val="333333"/>
                <w:sz w:val="21"/>
              </w:rPr>
              <w:t>App Store Product Guidelines</w:t>
            </w:r>
          </w:p>
        </w:tc>
        <w:tc>
          <w:tcPr>
            <w:tcW w:w="5000" w:type="dxa"/>
            <w:vAlign w:val="center"/>
          </w:tcPr>
          <w:p>
            <w:pPr>
              <w:spacing w:before="0" w:after="0"/>
            </w:pPr>
            <w:r>
              <w:rPr>
                <w:color w:val="333333"/>
                <w:sz w:val="21"/>
              </w:rPr>
              <w:t>Learn what can be published</w:t>
            </w:r>
          </w:p>
        </w:tc>
      </w:tr>
      <w:tr>
        <w:tc>
          <w:tcPr>
            <w:tcW w:w="5000" w:type="dxa"/>
            <w:vAlign w:val="center"/>
          </w:tcPr>
          <w:p>
            <w:pPr>
              <w:spacing w:before="0" w:after="0"/>
            </w:pPr>
            <w:r>
              <w:rPr>
                <w:color w:val="333333"/>
                <w:sz w:val="21"/>
              </w:rPr>
              <w:t>PayPal Setup Guide</w:t>
            </w:r>
          </w:p>
        </w:tc>
        <w:tc>
          <w:tcPr>
            <w:tcW w:w="5000" w:type="dxa"/>
            <w:vAlign w:val="center"/>
          </w:tcPr>
          <w:p>
            <w:pPr>
              <w:spacing w:before="0" w:after="0"/>
            </w:pPr>
            <w:r>
              <w:rPr>
                <w:color w:val="333333"/>
                <w:sz w:val="21"/>
              </w:rPr>
              <w:t>Configure payment options</w:t>
            </w:r>
          </w:p>
        </w:tc>
      </w:tr>
      <w:tr>
        <w:tc>
          <w:tcPr>
            <w:tcW w:w="5000" w:type="dxa"/>
            <w:vAlign w:val="center"/>
          </w:tcPr>
          <w:p>
            <w:pPr>
              <w:spacing w:before="0" w:after="0"/>
            </w:pPr>
            <w:r>
              <w:rPr>
                <w:color w:val="333333"/>
                <w:sz w:val="21"/>
              </w:rPr>
              <w:t>IPN Handler</w:t>
            </w:r>
          </w:p>
        </w:tc>
        <w:tc>
          <w:tcPr>
            <w:tcW w:w="5000" w:type="dxa"/>
            <w:vAlign w:val="center"/>
          </w:tcPr>
          <w:p>
            <w:pPr>
              <w:spacing w:before="0" w:after="0"/>
            </w:pPr>
            <w:r>
              <w:rPr>
                <w:color w:val="333333"/>
                <w:sz w:val="21"/>
              </w:rPr>
              <w:t>Learn about IPN notifications</w:t>
            </w:r>
          </w:p>
        </w:tc>
      </w:tr>
      <w:tr>
        <w:tc>
          <w:tcPr>
            <w:tcW w:w="5000" w:type="dxa"/>
            <w:vAlign w:val="center"/>
          </w:tcPr>
          <w:p>
            <w:pPr>
              <w:spacing w:before="0" w:after="0"/>
            </w:pPr>
            <w:r>
              <w:rPr>
                <w:color w:val="333333"/>
                <w:sz w:val="21"/>
              </w:rPr>
              <w:t>Entitlement API</w:t>
            </w:r>
          </w:p>
        </w:tc>
        <w:tc>
          <w:tcPr>
            <w:tcW w:w="5000" w:type="dxa"/>
            <w:vAlign w:val="center"/>
          </w:tcPr>
          <w:p>
            <w:pPr>
              <w:spacing w:before="0" w:after="0"/>
            </w:pPr>
            <w:r>
              <w:rPr>
                <w:color w:val="333333"/>
                <w:sz w:val="21"/>
              </w:rPr>
              <w:t>Check user entitlements</w:t>
            </w:r>
          </w:p>
        </w:tc>
      </w:tr>
      <w:tr>
        <w:tc>
          <w:tcPr>
            <w:tcW w:w="5000" w:type="dxa"/>
            <w:vAlign w:val="center"/>
          </w:tcPr>
          <w:p>
            <w:pPr>
              <w:spacing w:before="0" w:after="0"/>
            </w:pPr>
            <w:r>
              <w:rPr>
                <w:color w:val="333333"/>
                <w:sz w:val="21"/>
              </w:rPr>
              <w:t>APS Client ID</w:t>
            </w:r>
          </w:p>
        </w:tc>
        <w:tc>
          <w:tcPr>
            <w:tcW w:w="5000" w:type="dxa"/>
            <w:vAlign w:val="center"/>
          </w:tcPr>
          <w:p>
            <w:pPr>
              <w:spacing w:before="0" w:after="0"/>
            </w:pPr>
            <w:r>
              <w:rPr>
                <w:color w:val="333333"/>
                <w:sz w:val="21"/>
              </w:rPr>
              <w:t>Access APS APIs</w:t>
            </w:r>
          </w:p>
        </w:tc>
      </w:tr>
      <w:tr>
        <w:tc>
          <w:tcPr>
            <w:tcW w:w="5000" w:type="dxa"/>
            <w:vAlign w:val="center"/>
          </w:tcPr>
          <w:p>
            <w:pPr>
              <w:spacing w:before="0" w:after="0"/>
            </w:pPr>
            <w:r>
              <w:rPr>
                <w:color w:val="333333"/>
                <w:sz w:val="21"/>
              </w:rPr>
              <w:t>Publisher Privacy Policy</w:t>
            </w:r>
          </w:p>
        </w:tc>
        <w:tc>
          <w:tcPr>
            <w:tcW w:w="5000" w:type="dxa"/>
            <w:vAlign w:val="center"/>
          </w:tcPr>
          <w:p>
            <w:pPr>
              <w:spacing w:before="0" w:after="0"/>
            </w:pPr>
            <w:r>
              <w:rPr>
                <w:color w:val="333333"/>
                <w:sz w:val="21"/>
              </w:rPr>
              <w:t>Privacy requirements</w:t>
            </w:r>
          </w:p>
        </w:tc>
      </w:tr>
      <w:tr>
        <w:tc>
          <w:tcPr>
            <w:tcW w:w="5000" w:type="dxa"/>
            <w:vAlign w:val="center"/>
          </w:tcPr>
          <w:p>
            <w:pPr>
              <w:spacing w:before="0" w:after="0"/>
            </w:pPr>
            <w:r>
              <w:rPr>
                <w:color w:val="333333"/>
                <w:sz w:val="21"/>
              </w:rPr>
              <w:t>Publisher FAQ</w:t>
            </w:r>
          </w:p>
        </w:tc>
        <w:tc>
          <w:tcPr>
            <w:tcW w:w="5000" w:type="dxa"/>
            <w:vAlign w:val="center"/>
          </w:tcPr>
          <w:p>
            <w:pPr>
              <w:spacing w:before="0" w:after="0"/>
            </w:pPr>
            <w:r>
              <w:rPr>
                <w:color w:val="333333"/>
                <w:sz w:val="21"/>
              </w:rPr>
              <w:t>Common questions answered</w:t>
            </w:r>
          </w:p>
        </w:tc>
      </w:tr>
      <w:tr>
        <w:tc>
          <w:tcPr>
            <w:tcW w:w="5000" w:type="dxa"/>
            <w:vAlign w:val="center"/>
          </w:tcPr>
          <w:p>
            <w:pPr>
              <w:spacing w:before="0" w:after="0"/>
            </w:pPr>
            <w:r>
              <w:rPr>
                <w:color w:val="333333"/>
                <w:sz w:val="21"/>
              </w:rPr>
              <w:t>Apps Ideas Community Forum</w:t>
            </w:r>
          </w:p>
        </w:tc>
        <w:tc>
          <w:tcPr>
            <w:tcW w:w="5000" w:type="dxa"/>
            <w:vAlign w:val="center"/>
          </w:tcPr>
          <w:p>
            <w:pPr>
              <w:spacing w:before="0" w:after="0"/>
            </w:pPr>
            <w:r>
              <w:rPr>
                <w:color w:val="333333"/>
                <w:sz w:val="21"/>
              </w:rPr>
              <w:t>Discover user-requested apps</w:t>
            </w:r>
          </w:p>
        </w:tc>
      </w:tr>
    </w:tbl>
    <w:p>
      <w:pPr>
        <w:pStyle w:val="Heading1"/>
      </w:pPr>
      <w:r>
        <w:t>Support</w:t>
      </w:r>
    </w:p>
    <w:p>
      <w:r>
        <w:t>If you need more professional customization support, consider joining the Autodesk Developer Network.</w:t>
      </w:r>
    </w:p>
    <w:p>
      <w:r>
        <w:t>If you have any further questions after reviewing these guidelines and other documentation, or if you wish to submit an app for a product for which no specific guidelines are posted, email </w:t>
      </w:r>
    </w:p>
    <w:p>
      <w:pPr>
        <w:ind w:left="720"/>
      </w:pPr>
      <w:r>
        <w:rPr>
          <w:b/>
          <w:color w:val="0696D7"/>
        </w:rPr>
        <w:t>appsubmissions@autodesk.com</w:t>
      </w:r>
    </w:p>
    <w:p>
      <w:pPr>
        <w:spacing w:before="400"/>
      </w:pPr>
      <w:r>
        <w:rPr>
          <w:b/>
          <w:color w:val="2B579A"/>
          <w:sz w:val="24"/>
        </w:rPr>
        <w:t>Thank you for participating on Autodesk App Store</w:t>
      </w:r>
    </w:p>
    <w:sectPr>
      <w:headerReference w:type="default" r:id="R334f95929e9f404d"/>
      <w:footerReference w:type="default" r:id="R640f9ca488e74fea"/>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999999"/>
        <w:sz w:val="18"/>
      </w:rPr>
      <w:fldChar w:fldCharType="begin"/>
    </w:r>
    <w:r>
      <w:instrText> PAGE </w:instrText>
    </w:r>
    <w:r>
      <w:fldChar w:fldCharType="separate"/>
    </w:r>
    <w:r>
      <w:t>1</w:t>
    </w:r>
    <w:r>
      <w:fldChar w:fldCharType="end"/>
    </w:r>
    <w:r>
      <w:rPr>
        <w:color w:val="999999"/>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right"/>
    </w:pPr>
    <w:r>
      <w:rPr>
        <w:color w:val="999999"/>
        <w:sz w:val="18"/>
      </w:rPr>
      <w:t>Autodesk App Store - Getting Started Guide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color w:val="333333"/>
      <w:sz w:val="22"/>
    </w:rPr>
  </w:style>
  <w:style w:type="paragraph" w:styleId="Heading1">
    <w:name w:val="heading 1"/>
    <w:basedOn w:val="Normal"/>
    <w:pPr>
      <w:keepNext/>
      <w:keepLines/>
      <w:spacing w:before="480" w:after="240"/>
      <w:outlineLvl w:val="0"/>
    </w:pPr>
    <w:rPr>
      <w:b/>
      <w:color w:val="2B579A"/>
      <w:sz w:val="32"/>
    </w:rPr>
  </w:style>
  <w:style w:type="paragraph" w:styleId="Heading2">
    <w:name w:val="heading 2"/>
    <w:basedOn w:val="Normal"/>
    <w:pPr>
      <w:keepNext/>
      <w:keepLines/>
      <w:spacing w:before="320" w:after="160"/>
      <w:outlineLvl w:val="1"/>
    </w:pPr>
    <w:rPr>
      <w:b/>
      <w:color w:val="5B7F95"/>
      <w:sz w:val="26"/>
    </w:rPr>
  </w:style>
</w:styles>
</file>

<file path=word/_rels/document.xml.rels>&#65279;<?xml version="1.0" encoding="utf-8"?><Relationships xmlns="http://schemas.openxmlformats.org/package/2006/relationships"><Relationship Type="http://schemas.openxmlformats.org/officeDocument/2006/relationships/styles" Target="/word/styles.xml" Id="R6135e0657956446c" /><Relationship Type="http://schemas.openxmlformats.org/officeDocument/2006/relationships/numbering" Target="/word/numbering.xml" Id="R8d4813b8edd948ae" /><Relationship Type="http://schemas.openxmlformats.org/officeDocument/2006/relationships/header" Target="/word/header1.xml" Id="R334f95929e9f404d" /><Relationship Type="http://schemas.openxmlformats.org/officeDocument/2006/relationships/footer" Target="/word/footer1.xml" Id="R640f9ca488e74fea" /><Relationship Type="http://schemas.openxmlformats.org/officeDocument/2006/relationships/settings" Target="/word/settings.xml" Id="R83584bd4278b4494" /></Relationships>
</file>