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</w:t>
      </w:r>
      <w:proofErr w:type="gramStart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code</w:t>
      </w:r>
      <w:proofErr w:type="gramEnd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 xml:space="preserve">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8F7B70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8F7B70">
        <w:rPr>
          <w:rFonts w:asciiTheme="minorHAnsi" w:hAnsiTheme="minorHAnsi" w:cstheme="minorHAnsi"/>
          <w:b/>
          <w:bCs/>
          <w:highlight w:val="yellow"/>
          <w:lang w:val="en-US"/>
        </w:rPr>
        <w:t>Manage Reservations</w:t>
      </w:r>
      <w:r w:rsidRPr="008F7B70">
        <w:rPr>
          <w:rFonts w:asciiTheme="minorHAnsi" w:hAnsiTheme="minorHAnsi" w:cstheme="minorHAnsi"/>
          <w:highlight w:val="yellow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06078C">
        <w:rPr>
          <w:rFonts w:asciiTheme="minorHAnsi" w:hAnsiTheme="minorHAnsi" w:cstheme="minorHAnsi"/>
          <w:b/>
          <w:bCs/>
          <w:highlight w:val="yellow"/>
          <w:lang w:val="en-US"/>
        </w:rPr>
        <w:t>User Authentication</w:t>
      </w:r>
      <w:r w:rsidRPr="0006078C">
        <w:rPr>
          <w:rFonts w:asciiTheme="minorHAnsi" w:hAnsiTheme="minorHAnsi" w:cstheme="minorHAnsi"/>
          <w:highlight w:val="yellow"/>
          <w:lang w:val="en-US"/>
        </w:rPr>
        <w:t>: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701B9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>, Edit, and Delete Rooms: Manage the details of conference rooms.</w:t>
      </w:r>
    </w:p>
    <w:p w14:paraId="3C1D25E9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Reserve for Users: Make reservations on behalf of users.</w:t>
      </w:r>
    </w:p>
    <w:p w14:paraId="45441F61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Cancel User Reservations: Cancel reservations made by users.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View All Reservations: Oversee all reservations in the system.</w:t>
      </w:r>
    </w:p>
    <w:p w14:paraId="543F117D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Manage User Accounts: Add, edit,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Task 2: Web Development                                                                                      </w:t>
                            </w:r>
                            <w:proofErr w:type="gramStart"/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Task 2: Web Development                                                                                      </w:t>
                      </w:r>
                      <w:proofErr w:type="gramStart"/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A7E17" w14:textId="77777777" w:rsidR="004845BB" w:rsidRDefault="004845BB" w:rsidP="00112E75">
      <w:r>
        <w:separator/>
      </w:r>
    </w:p>
  </w:endnote>
  <w:endnote w:type="continuationSeparator" w:id="0">
    <w:p w14:paraId="21F07438" w14:textId="77777777" w:rsidR="004845BB" w:rsidRDefault="004845BB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E6F51" w14:textId="77777777" w:rsidR="004845BB" w:rsidRDefault="004845BB" w:rsidP="00112E75">
      <w:r>
        <w:separator/>
      </w:r>
    </w:p>
  </w:footnote>
  <w:footnote w:type="continuationSeparator" w:id="0">
    <w:p w14:paraId="6004A489" w14:textId="77777777" w:rsidR="004845BB" w:rsidRDefault="004845BB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6078C"/>
    <w:rsid w:val="00072FA2"/>
    <w:rsid w:val="00086018"/>
    <w:rsid w:val="0009328C"/>
    <w:rsid w:val="0009392B"/>
    <w:rsid w:val="000A7967"/>
    <w:rsid w:val="000C39BC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845BB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81E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70641"/>
    <w:rsid w:val="007851A4"/>
    <w:rsid w:val="007958E6"/>
    <w:rsid w:val="007B3FBC"/>
    <w:rsid w:val="007D4ED7"/>
    <w:rsid w:val="007F36CD"/>
    <w:rsid w:val="00821EAE"/>
    <w:rsid w:val="00824972"/>
    <w:rsid w:val="008261F8"/>
    <w:rsid w:val="00862D96"/>
    <w:rsid w:val="00874CE0"/>
    <w:rsid w:val="008901A2"/>
    <w:rsid w:val="008D752F"/>
    <w:rsid w:val="008F118F"/>
    <w:rsid w:val="008F7B70"/>
    <w:rsid w:val="009018E8"/>
    <w:rsid w:val="00920636"/>
    <w:rsid w:val="00924AC7"/>
    <w:rsid w:val="0095541A"/>
    <w:rsid w:val="00967555"/>
    <w:rsid w:val="00975E71"/>
    <w:rsid w:val="009919E0"/>
    <w:rsid w:val="00996127"/>
    <w:rsid w:val="009C2F47"/>
    <w:rsid w:val="009E6AA4"/>
    <w:rsid w:val="00A03A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C3DA1"/>
    <w:rsid w:val="00C309A3"/>
    <w:rsid w:val="00C42CF5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E12A4C"/>
    <w:rsid w:val="00E24B52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116</cp:revision>
  <dcterms:created xsi:type="dcterms:W3CDTF">2023-01-23T00:38:00Z</dcterms:created>
  <dcterms:modified xsi:type="dcterms:W3CDTF">2025-08-13T04:33:00Z</dcterms:modified>
</cp:coreProperties>
</file>