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Business Banking Service Schedule</w:t>
      </w:r>
    </w:p>
    <w:p>
      <w:r>
        <w:t xml:space="preserve">Effective 1 July 2026. Supersedes the schedule dated 3 March 2025.</w:t>
      </w:r>
    </w:p>
    <w:p>
      <w:pPr>
        <w:pStyle w:val="Heading2"/>
      </w:pPr>
      <w:r>
        <w:t xml:space="preserve">Merchant services</w:t>
      </w:r>
    </w:p>
    <w:p>
      <w:pPr>
        <w:pStyle w:val="Heading3"/>
      </w:pPr>
      <w:r>
        <w:t xml:space="preserve">Card acceptance pricing</w:t>
      </w:r>
    </w:p>
    <w:p>
      <w:r>
        <w:t xml:space="preserve">Card acceptance is priced on an interchange-plus basis. The processing margin below is charged in addition to the scheme interchange rate, which varies by card type and is set by the card networks rather than by the bank.</w:t>
      </w:r>
    </w:p>
    <w:tbl>
      <w:tr>
        <w:tc>
          <w:tcPr>
            <w:tcW w:w="2400" w:type="dxa"/>
          </w:tcPr>
          <w:p>
            <w:r>
              <w:t xml:space="preserve">Transaction type</w:t>
            </w:r>
          </w:p>
        </w:tc>
        <w:tc>
          <w:tcPr>
            <w:tcW w:w="2400" w:type="dxa"/>
          </w:tcPr>
          <w:p>
            <w:r>
              <w:t xml:space="preserve">Margin</w:t>
            </w:r>
          </w:p>
        </w:tc>
        <w:tc>
          <w:tcPr>
            <w:tcW w:w="2400" w:type="dxa"/>
          </w:tcPr>
          <w:p>
            <w:r>
              <w:t xml:space="preserve">Per-item fee</w:t>
            </w:r>
          </w:p>
        </w:tc>
        <w:tc>
          <w:tcPr>
            <w:tcW w:w="2400" w:type="dxa"/>
          </w:tcPr>
          <w:p>
            <w:r>
              <w:t xml:space="preserve">Settlement</w:t>
            </w:r>
          </w:p>
        </w:tc>
      </w:tr>
      <w:tr>
        <w:tc>
          <w:tcPr>
            <w:tcW w:w="2400" w:type="dxa"/>
          </w:tcPr>
          <w:p>
            <w:r>
              <w:t xml:space="preserve">Consumer debit, in person</w:t>
            </w:r>
          </w:p>
        </w:tc>
        <w:tc>
          <w:tcPr>
            <w:tcW w:w="2400" w:type="dxa"/>
          </w:tcPr>
          <w:p>
            <w:r>
              <w:t xml:space="preserve">0.35%</w:t>
            </w:r>
          </w:p>
        </w:tc>
        <w:tc>
          <w:tcPr>
            <w:tcW w:w="2400" w:type="dxa"/>
          </w:tcPr>
          <w:p>
            <w:r>
              <w:t xml:space="preserve">$0.08</w:t>
            </w:r>
          </w:p>
        </w:tc>
        <w:tc>
          <w:tcPr>
            <w:tcW w:w="2400" w:type="dxa"/>
          </w:tcPr>
          <w:p>
            <w:r>
              <w:t xml:space="preserve">Next business day</w:t>
            </w:r>
          </w:p>
        </w:tc>
      </w:tr>
      <w:tr>
        <w:tc>
          <w:tcPr>
            <w:tcW w:w="2400" w:type="dxa"/>
          </w:tcPr>
          <w:p>
            <w:r>
              <w:t xml:space="preserve">Consumer credit, in person</w:t>
            </w:r>
          </w:p>
        </w:tc>
        <w:tc>
          <w:tcPr>
            <w:tcW w:w="2400" w:type="dxa"/>
          </w:tcPr>
          <w:p>
            <w:r>
              <w:t xml:space="preserve">0.60%</w:t>
            </w:r>
          </w:p>
        </w:tc>
        <w:tc>
          <w:tcPr>
            <w:tcW w:w="2400" w:type="dxa"/>
          </w:tcPr>
          <w:p>
            <w:r>
              <w:t xml:space="preserve">$0.08</w:t>
            </w:r>
          </w:p>
        </w:tc>
        <w:tc>
          <w:tcPr>
            <w:tcW w:w="2400" w:type="dxa"/>
          </w:tcPr>
          <w:p>
            <w:r>
              <w:t xml:space="preserve">Next business day</w:t>
            </w:r>
          </w:p>
        </w:tc>
      </w:tr>
      <w:tr>
        <w:tc>
          <w:tcPr>
            <w:tcW w:w="2400" w:type="dxa"/>
          </w:tcPr>
          <w:p>
            <w:r>
              <w:t xml:space="preserve">Card not present</w:t>
            </w:r>
          </w:p>
        </w:tc>
        <w:tc>
          <w:tcPr>
            <w:tcW w:w="2400" w:type="dxa"/>
          </w:tcPr>
          <w:p>
            <w:r>
              <w:t xml:space="preserve">0.95%</w:t>
            </w:r>
          </w:p>
        </w:tc>
        <w:tc>
          <w:tcPr>
            <w:tcW w:w="2400" w:type="dxa"/>
          </w:tcPr>
          <w:p>
            <w:r>
              <w:t xml:space="preserve">$0.14</w:t>
            </w:r>
          </w:p>
        </w:tc>
        <w:tc>
          <w:tcPr>
            <w:tcW w:w="2400" w:type="dxa"/>
          </w:tcPr>
          <w:p>
            <w:r>
              <w:t xml:space="preserve">Two business days</w:t>
            </w:r>
          </w:p>
        </w:tc>
      </w:tr>
      <w:tr>
        <w:tc>
          <w:tcPr>
            <w:tcW w:w="2400" w:type="dxa"/>
          </w:tcPr>
          <w:p>
            <w:r>
              <w:t xml:space="preserve">International card</w:t>
            </w:r>
          </w:p>
        </w:tc>
        <w:tc>
          <w:tcPr>
            <w:tcW w:w="2400" w:type="dxa"/>
          </w:tcPr>
          <w:p>
            <w:r>
              <w:t xml:space="preserve">1.40%</w:t>
            </w:r>
          </w:p>
        </w:tc>
        <w:tc>
          <w:tcPr>
            <w:tcW w:w="2400" w:type="dxa"/>
          </w:tcPr>
          <w:p>
            <w:r>
              <w:t xml:space="preserve">$0.20</w:t>
            </w:r>
          </w:p>
        </w:tc>
        <w:tc>
          <w:tcPr>
            <w:tcW w:w="2400" w:type="dxa"/>
          </w:tcPr>
          <w:p>
            <w:r>
              <w:t xml:space="preserve">Three business days</w:t>
            </w:r>
          </w:p>
        </w:tc>
      </w:tr>
    </w:tbl>
    <w:p>
      <w:r>
        <w:t xml:space="preserve">Settlement timing is measured from the daily cut-off of 5:00 PM ET. A batch closed after the cut-off settles on the following cycle.</w:t>
      </w:r>
    </w:p>
    <w:p>
      <w:pPr>
        <w:pStyle w:val="Heading3"/>
      </w:pPr>
      <w:r>
        <w:t xml:space="preserve">Chargebacks and representment</w:t>
      </w:r>
    </w:p>
    <w:p>
      <w:r>
        <w:t xml:space="preserve">A chargeback raised against a merchant carries a $25 administration fee, charged whether or not the chargeback is ultimately upheld. The merchant has 18 calendar days from notification to submit representment evidence. Merchants whose chargeback ratio exceeds 0.9% of monthly transaction count for two consecutive months are placed in a monitoring programme and may be required to hold a rolling reserve.</w:t>
      </w:r>
    </w:p>
    <w:p>
      <w:r>
        <w:t xml:space="preserve">A rolling reserve withholds 5% to 10% of gross settlement for 180 days. The exact percentage is set case by case by the risk team and is reviewed every 90 days.</w:t>
      </w:r>
    </w:p>
    <w:p>
      <w:pPr>
        <w:pStyle w:val="Heading2"/>
      </w:pPr>
      <w:r>
        <w:t xml:space="preserve">Payroll and mass payments</w:t>
      </w:r>
    </w:p>
    <w:p>
      <w:pPr>
        <w:pStyle w:val="Heading3"/>
      </w:pPr>
      <w:r>
        <w:t xml:space="preserve">File submission windows</w:t>
      </w:r>
    </w:p>
    <w:p>
      <w:r>
        <w:t xml:space="preserve">Payroll files must be submitted at least two business days before the intended value date. Files received after 3:00 PM ET are treated as received on the following business day. A file containing more than 5,000 payment instructions requires prior arrangement with the relationship manager.</w:t>
      </w:r>
    </w:p>
    <w:p>
      <w:pPr>
        <w:numPr>
          <w:ilvl w:val="0"/>
          <w:numId w:val="1"/>
        </w:numPr>
      </w:pPr>
      <w:r>
        <w:t xml:space="preserve">Standard payroll: two business days' notice</w:t>
      </w:r>
    </w:p>
    <w:p>
      <w:pPr>
        <w:numPr>
          <w:ilvl w:val="0"/>
          <w:numId w:val="1"/>
        </w:numPr>
      </w:pPr>
      <w:r>
        <w:t xml:space="preserve">Same-day payroll: available at $75 per file, cut-off 10:00 AM ET</w:t>
      </w:r>
    </w:p>
    <w:p>
      <w:pPr>
        <w:numPr>
          <w:ilvl w:val="0"/>
          <w:numId w:val="1"/>
        </w:numPr>
      </w:pPr>
      <w:r>
        <w:t xml:space="preserve">Cross-border payroll: five business days, priced per corridor</w:t>
      </w:r>
    </w:p>
    <w:p>
      <w:pPr>
        <w:pStyle w:val="Heading3"/>
      </w:pPr>
      <w:r>
        <w:t xml:space="preserve">Failed and returned payments</w:t>
      </w:r>
    </w:p>
    <w:p>
      <w:r>
        <w:t xml:space="preserve">A payment returned for an invalid account number is re-presented once automatically at no charge. Any subsequent return is charged at $12 per item. Returns caused by insufficient funds in the originating account are charged at $30 per item and are not re-presented automatically.</w:t>
      </w:r>
    </w:p>
    <w:p>
      <w:pPr>
        <w:pStyle w:val="Heading2"/>
      </w:pPr>
      <w:r>
        <w:t xml:space="preserve">Account maintenance</w:t>
      </w:r>
    </w:p>
    <w:p>
      <w:pPr>
        <w:pStyle w:val="Heading3"/>
      </w:pPr>
      <w:r>
        <w:t xml:space="preserve">Dormancy</w:t>
      </w:r>
    </w:p>
    <w:p>
      <w:r>
        <w:t xml:space="preserve">A business account with no customer-initiated activity for 18 months is flagged dormant. Dormant accounts continue to accrue interest but cannot originate outbound payments until reactivated. Reactivation requires a signatory to attend a branch with photo identification and takes effect the same business day.</w:t>
      </w:r>
    </w:p>
    <w:p>
      <w:pPr>
        <w:pStyle w:val="Heading3"/>
      </w:pPr>
      <w:r>
        <w:t xml:space="preserve">Closing an account</w:t>
      </w:r>
    </w:p>
    <w:p>
      <w:r>
        <w:t xml:space="preserve">An account may be closed by written instruction from an authorised signatory. Closure is processed within five business days of the final outstanding item clearing. Accounts closed within 12 months of opening are charged a $50 early closure fee, waived if the closure follows a relocation outside the bank's service area.</w:t>
      </w:r>
    </w:p>
  </w:body>
</w:document>
</file>