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6DBA893"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Pr>
            <w:rStyle w:val="Hyperlink"/>
            <w:noProof/>
            <w:lang w:val="en-US"/>
          </w:rPr>
          <w:t>6</w:t>
        </w:r>
        <w:r w:rsidR="00575E55" w:rsidRPr="00DD16E9">
          <w:rPr>
            <w:rStyle w:val="Hyperlink"/>
            <w:noProof/>
            <w:lang w:val="en-US"/>
          </w:rPr>
          <w:t>.</w:t>
        </w:r>
        <w:r w:rsidR="00575E55" w:rsidRPr="00DD16E9">
          <w:rPr>
            <w:rFonts w:asciiTheme="minorHAnsi" w:eastAsiaTheme="minorEastAsia" w:hAnsiTheme="minorHAnsi" w:cstheme="minorBidi"/>
            <w:noProof/>
            <w:sz w:val="22"/>
            <w:szCs w:val="22"/>
            <w:lang w:val="en-US" w:eastAsia="en-US"/>
          </w:rPr>
          <w:tab/>
        </w:r>
        <w:r w:rsidR="00575E55">
          <w:rPr>
            <w:rStyle w:val="Hyperlink"/>
            <w:noProof/>
            <w:lang w:val="en-US"/>
          </w:rPr>
          <w:t>Use 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593AD0">
        <w:tc>
          <w:tcPr>
            <w:tcW w:w="1908" w:type="dxa"/>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593AD0">
        <w:tc>
          <w:tcPr>
            <w:tcW w:w="1908" w:type="dxa"/>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593AD0">
        <w:tc>
          <w:tcPr>
            <w:tcW w:w="1908" w:type="dxa"/>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593AD0">
        <w:tc>
          <w:tcPr>
            <w:tcW w:w="1908" w:type="dxa"/>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593AD0">
        <w:tc>
          <w:tcPr>
            <w:tcW w:w="1908" w:type="dxa"/>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593AD0">
        <w:tc>
          <w:tcPr>
            <w:tcW w:w="1908" w:type="dxa"/>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593AD0">
        <w:tc>
          <w:tcPr>
            <w:tcW w:w="1908" w:type="dxa"/>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593AD0">
        <w:tc>
          <w:tcPr>
            <w:tcW w:w="1908" w:type="dxa"/>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593AD0">
        <w:tc>
          <w:tcPr>
            <w:tcW w:w="1908" w:type="dxa"/>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593AD0">
        <w:tc>
          <w:tcPr>
            <w:tcW w:w="1908" w:type="dxa"/>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Pr>
          <w:p w14:paraId="324AF125" w14:textId="77777777"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r w:rsidR="00593AD0" w:rsidRPr="00DD16E9" w14:paraId="6F7DB4BC" w14:textId="77777777" w:rsidTr="00593AD0">
        <w:tc>
          <w:tcPr>
            <w:tcW w:w="1908" w:type="dxa"/>
          </w:tcPr>
          <w:p w14:paraId="1DD10FFC" w14:textId="212FA24E" w:rsidR="00593AD0" w:rsidRDefault="00593AD0" w:rsidP="00DE7CE6">
            <w:pPr>
              <w:pStyle w:val="ListParagraph"/>
              <w:spacing w:after="200" w:line="276" w:lineRule="auto"/>
              <w:ind w:left="360"/>
              <w:rPr>
                <w:lang w:val="en-US"/>
              </w:rPr>
            </w:pPr>
            <w:r>
              <w:rPr>
                <w:lang w:val="en-US"/>
              </w:rPr>
              <w:t>Inspirational Quotes</w:t>
            </w:r>
          </w:p>
        </w:tc>
        <w:tc>
          <w:tcPr>
            <w:tcW w:w="6228" w:type="dxa"/>
          </w:tcPr>
          <w:p w14:paraId="785EFF86" w14:textId="0E1B0911" w:rsidR="00593AD0" w:rsidRPr="00E95FE0" w:rsidRDefault="00593AD0" w:rsidP="00DE7CE6">
            <w:pPr>
              <w:pStyle w:val="ListParagraph"/>
              <w:spacing w:after="200" w:line="276" w:lineRule="auto"/>
              <w:ind w:left="360"/>
              <w:rPr>
                <w:lang w:val="en-US"/>
              </w:rPr>
            </w:pPr>
            <w:r>
              <w:rPr>
                <w:lang w:val="en-US"/>
              </w:rPr>
              <w:t xml:space="preserve">An API that returns </w:t>
            </w:r>
            <w:r w:rsidRPr="00593AD0">
              <w:rPr>
                <w:lang w:val="en-US"/>
              </w:rPr>
              <w:t>an array of inspirational quotes in JSON format</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4100CBE"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w:t>
      </w:r>
      <w:r w:rsidR="00384E85">
        <w:rPr>
          <w:lang w:val="en-US"/>
        </w:rPr>
        <w:t>, as well as an inspirational quote from the Inspirational Quotes API</w:t>
      </w:r>
      <w:r w:rsidRPr="00350F59">
        <w:rPr>
          <w:lang w:val="en-US"/>
        </w:rPr>
        <w:t xml:space="preserve">.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 xml:space="preserve">pdates” field, where the gym can inform climbers of upcoming </w:t>
      </w:r>
      <w:r w:rsidRPr="00350F59">
        <w:rPr>
          <w:lang w:val="en-US"/>
        </w:rPr>
        <w:lastRenderedPageBreak/>
        <w:t>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limbing gym” 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rsidP="00613299">
      <w:pPr>
        <w:pStyle w:val="Heading2"/>
        <w:numPr>
          <w:ilvl w:val="0"/>
          <w:numId w:val="44"/>
        </w:numPr>
        <w:shd w:val="clear" w:color="auto" w:fill="333333"/>
        <w:tabs>
          <w:tab w:val="num" w:pos="720"/>
        </w:tabs>
        <w:ind w:left="720"/>
        <w:jc w:val="center"/>
        <w:rPr>
          <w:lang w:val="en-US"/>
        </w:rPr>
      </w:pPr>
      <w:r>
        <w:rPr>
          <w:lang w:val="en-US"/>
        </w:rPr>
        <w:lastRenderedPageBreak/>
        <w:t>Use Case Model</w:t>
      </w:r>
    </w:p>
    <w:p w14:paraId="36EB3D9C" w14:textId="501889F8" w:rsidR="00F0361A" w:rsidRPr="00DD16E9" w:rsidRDefault="00765B47" w:rsidP="000D47B1">
      <w:pPr>
        <w:spacing w:before="100" w:beforeAutospacing="1" w:after="100" w:afterAutospacing="1"/>
        <w:rPr>
          <w:lang w:val="en-US"/>
        </w:rPr>
      </w:pPr>
      <w:r w:rsidRPr="00765B47">
        <w:rPr>
          <w:lang w:val="en-US"/>
        </w:rPr>
        <w:drawing>
          <wp:inline distT="0" distB="0" distL="0" distR="0" wp14:anchorId="5871C7E2" wp14:editId="3DA5BBA7">
            <wp:extent cx="6645910" cy="70592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7059295"/>
                    </a:xfrm>
                    <a:prstGeom prst="rect">
                      <a:avLst/>
                    </a:prstGeom>
                  </pic:spPr>
                </pic:pic>
              </a:graphicData>
            </a:graphic>
          </wp:inline>
        </w:drawing>
      </w:r>
    </w:p>
    <w:sectPr w:rsidR="00F0361A" w:rsidRPr="00DD16E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E7DA" w14:textId="77777777" w:rsidR="009553A4" w:rsidRDefault="009553A4">
      <w:r>
        <w:separator/>
      </w:r>
    </w:p>
  </w:endnote>
  <w:endnote w:type="continuationSeparator" w:id="0">
    <w:p w14:paraId="623346C4" w14:textId="77777777" w:rsidR="009553A4" w:rsidRDefault="0095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59BA" w14:textId="77777777" w:rsidR="009553A4" w:rsidRDefault="009553A4">
      <w:r>
        <w:separator/>
      </w:r>
    </w:p>
  </w:footnote>
  <w:footnote w:type="continuationSeparator" w:id="0">
    <w:p w14:paraId="5CB037E0" w14:textId="77777777" w:rsidR="009553A4" w:rsidRDefault="00955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84E85"/>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17AB8"/>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93AD0"/>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65B47"/>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553A4"/>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17995</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10</cp:revision>
  <dcterms:created xsi:type="dcterms:W3CDTF">2022-09-26T21:44:00Z</dcterms:created>
  <dcterms:modified xsi:type="dcterms:W3CDTF">2022-09-27T00:48:00Z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