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75414227" w14:textId="06DBA893" w:rsidR="00575E55" w:rsidRPr="00DD16E9" w:rsidRDefault="00C2415E" w:rsidP="00575E55">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end"/>
      </w:r>
      <w:hyperlink w:anchor="_Toc113453901" w:history="1">
        <w:r w:rsidR="00575E55">
          <w:rPr>
            <w:rStyle w:val="Hyperlink"/>
            <w:noProof/>
            <w:lang w:val="en-US"/>
          </w:rPr>
          <w:t>6</w:t>
        </w:r>
        <w:r w:rsidR="00575E55" w:rsidRPr="00DD16E9">
          <w:rPr>
            <w:rStyle w:val="Hyperlink"/>
            <w:noProof/>
            <w:lang w:val="en-US"/>
          </w:rPr>
          <w:t>.</w:t>
        </w:r>
        <w:r w:rsidR="00575E55" w:rsidRPr="00DD16E9">
          <w:rPr>
            <w:rFonts w:asciiTheme="minorHAnsi" w:eastAsiaTheme="minorEastAsia" w:hAnsiTheme="minorHAnsi" w:cstheme="minorBidi"/>
            <w:noProof/>
            <w:sz w:val="22"/>
            <w:szCs w:val="22"/>
            <w:lang w:val="en-US" w:eastAsia="en-US"/>
          </w:rPr>
          <w:tab/>
        </w:r>
        <w:r w:rsidR="00575E55">
          <w:rPr>
            <w:rStyle w:val="Hyperlink"/>
            <w:noProof/>
            <w:lang w:val="en-US"/>
          </w:rPr>
          <w:t>Use Case Model</w:t>
        </w:r>
        <w:r w:rsidR="00575E55" w:rsidRPr="00DD16E9">
          <w:rPr>
            <w:noProof/>
            <w:webHidden/>
            <w:lang w:val="en-US"/>
          </w:rPr>
          <w:tab/>
        </w:r>
        <w:r w:rsidR="00575E55">
          <w:rPr>
            <w:noProof/>
            <w:webHidden/>
            <w:lang w:val="en-US"/>
          </w:rPr>
          <w:t>8</w:t>
        </w:r>
      </w:hyperlink>
    </w:p>
    <w:p w14:paraId="4564817F" w14:textId="6393D836" w:rsidR="00F37EB6" w:rsidRPr="00DD16E9" w:rsidRDefault="00F37EB6" w:rsidP="00610903">
      <w:pPr>
        <w:rPr>
          <w:lang w:val="en-US"/>
        </w:rPr>
      </w:pP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tcBorders>
              <w:top w:val="single" w:sz="6" w:space="0" w:color="000000"/>
              <w:left w:val="single" w:sz="6" w:space="0" w:color="000000"/>
              <w:bottom w:val="single" w:sz="6" w:space="0" w:color="000000"/>
              <w:right w:val="single" w:sz="6" w:space="0" w:color="000000"/>
            </w:tcBorders>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tcBorders>
              <w:top w:val="single" w:sz="6" w:space="0" w:color="000000"/>
              <w:left w:val="single" w:sz="6" w:space="0" w:color="000000"/>
              <w:bottom w:val="single" w:sz="6" w:space="0" w:color="000000"/>
              <w:right w:val="single" w:sz="6" w:space="0" w:color="000000"/>
            </w:tcBorders>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tcBorders>
              <w:top w:val="single" w:sz="6" w:space="0" w:color="000000"/>
              <w:left w:val="single" w:sz="6" w:space="0" w:color="000000"/>
              <w:bottom w:val="single" w:sz="6" w:space="0" w:color="000000"/>
              <w:right w:val="single" w:sz="6" w:space="0" w:color="000000"/>
            </w:tcBorders>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Borders>
              <w:top w:val="single" w:sz="6" w:space="0" w:color="000000"/>
              <w:left w:val="single" w:sz="6" w:space="0" w:color="000000"/>
              <w:bottom w:val="single" w:sz="6" w:space="0" w:color="000000"/>
              <w:right w:val="single" w:sz="6" w:space="0" w:color="000000"/>
            </w:tcBorders>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Borders>
              <w:top w:val="single" w:sz="6" w:space="0" w:color="000000"/>
              <w:left w:val="single" w:sz="6" w:space="0" w:color="000000"/>
              <w:bottom w:val="single" w:sz="6" w:space="0" w:color="000000"/>
              <w:right w:val="single" w:sz="6" w:space="0" w:color="000000"/>
            </w:tcBorders>
          </w:tcPr>
          <w:p w14:paraId="324AF125" w14:textId="24D94226"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F9EA64B"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pdates” field, where the gym can inform climbers of upcoming 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 xml:space="preserve">limbing gym” </w:t>
      </w:r>
      <w:r w:rsidRPr="00350F59">
        <w:rPr>
          <w:lang w:val="en-US"/>
        </w:rPr>
        <w:lastRenderedPageBreak/>
        <w:t>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Intellij and Netbeans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D902C3">
      <w:pPr>
        <w:numPr>
          <w:ilvl w:val="2"/>
          <w:numId w:val="37"/>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rsidP="00D902C3">
      <w:pPr>
        <w:numPr>
          <w:ilvl w:val="2"/>
          <w:numId w:val="37"/>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D902C3">
      <w:pPr>
        <w:numPr>
          <w:ilvl w:val="2"/>
          <w:numId w:val="37"/>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D902C3">
      <w:pPr>
        <w:numPr>
          <w:ilvl w:val="2"/>
          <w:numId w:val="37"/>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D902C3">
      <w:pPr>
        <w:numPr>
          <w:ilvl w:val="2"/>
          <w:numId w:val="37"/>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1F2C71E5" w14:textId="24A70D67" w:rsidR="00613299" w:rsidRPr="008B29F6" w:rsidRDefault="00613299" w:rsidP="00613299">
      <w:pPr>
        <w:pStyle w:val="Heading2"/>
        <w:numPr>
          <w:ilvl w:val="0"/>
          <w:numId w:val="44"/>
        </w:numPr>
        <w:shd w:val="clear" w:color="auto" w:fill="333333"/>
        <w:tabs>
          <w:tab w:val="num" w:pos="720"/>
        </w:tabs>
        <w:ind w:left="720"/>
        <w:jc w:val="center"/>
        <w:rPr>
          <w:lang w:val="en-US"/>
        </w:rPr>
      </w:pPr>
      <w:r>
        <w:rPr>
          <w:lang w:val="en-US"/>
        </w:rPr>
        <w:lastRenderedPageBreak/>
        <w:t>Use Case Model</w:t>
      </w:r>
    </w:p>
    <w:p w14:paraId="36EB3D9C" w14:textId="501889F8" w:rsidR="00F0361A" w:rsidRPr="00DD16E9" w:rsidRDefault="00765B47" w:rsidP="000D47B1">
      <w:pPr>
        <w:spacing w:before="100" w:beforeAutospacing="1" w:after="100" w:afterAutospacing="1"/>
        <w:rPr>
          <w:lang w:val="en-US"/>
        </w:rPr>
      </w:pPr>
      <w:r w:rsidRPr="00765B47">
        <w:rPr>
          <w:lang w:val="en-US"/>
        </w:rPr>
        <w:drawing>
          <wp:inline distT="0" distB="0" distL="0" distR="0" wp14:anchorId="5871C7E2" wp14:editId="3DA5BBA7">
            <wp:extent cx="6645910" cy="70592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7059295"/>
                    </a:xfrm>
                    <a:prstGeom prst="rect">
                      <a:avLst/>
                    </a:prstGeom>
                  </pic:spPr>
                </pic:pic>
              </a:graphicData>
            </a:graphic>
          </wp:inline>
        </w:drawing>
      </w:r>
    </w:p>
    <w:sectPr w:rsidR="00F0361A" w:rsidRPr="00DD16E9"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2CECF" w14:textId="77777777" w:rsidR="0014138C" w:rsidRDefault="0014138C">
      <w:r>
        <w:separator/>
      </w:r>
    </w:p>
  </w:endnote>
  <w:endnote w:type="continuationSeparator" w:id="0">
    <w:p w14:paraId="30F15BC3" w14:textId="77777777" w:rsidR="0014138C" w:rsidRDefault="0014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6620" w14:textId="77777777" w:rsidR="0014138C" w:rsidRDefault="0014138C">
      <w:r>
        <w:separator/>
      </w:r>
    </w:p>
  </w:footnote>
  <w:footnote w:type="continuationSeparator" w:id="0">
    <w:p w14:paraId="58404637" w14:textId="77777777" w:rsidR="0014138C" w:rsidRDefault="00141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138C"/>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17AB8"/>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5E55"/>
    <w:rsid w:val="0057787D"/>
    <w:rsid w:val="005865D3"/>
    <w:rsid w:val="00586C02"/>
    <w:rsid w:val="0059081B"/>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299"/>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65B47"/>
    <w:rsid w:val="00773236"/>
    <w:rsid w:val="00780DD4"/>
    <w:rsid w:val="00792423"/>
    <w:rsid w:val="007B378F"/>
    <w:rsid w:val="007C1B6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17835</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BENNUMBER5 5</cp:lastModifiedBy>
  <cp:revision>8</cp:revision>
  <dcterms:created xsi:type="dcterms:W3CDTF">2022-09-26T21:44:00Z</dcterms:created>
  <dcterms:modified xsi:type="dcterms:W3CDTF">2022-09-26T22:41:00Z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