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Beat Buyout and Rights Assignment Agreement</w:t>
      </w:r>
    </w:p>
    <w:p>
      <w:pPr>
        <w:pStyle w:val="Subtitle"/>
      </w:pPr>
      <w:r>
        <w:t>Editable agreement template  |  Resource 04</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Identified recordings and compositions: [SPECIFY]</w:t>
      </w:r>
    </w:p>
    <w:p>
      <w:r>
        <w:t>• Transfer scope: [SPECIFY]</w:t>
      </w:r>
    </w:p>
    <w:p>
      <w:r>
        <w:t>• Price: [SPECIFY]</w:t>
      </w:r>
    </w:p>
    <w:p>
      <w:r>
        <w:t>• Third-party samples: [SPECIFY]</w:t>
      </w:r>
    </w:p>
    <w:p>
      <w:r>
        <w:t>• Warranties: [SPECIFY]</w:t>
      </w:r>
    </w:p>
    <w:p>
      <w:r>
        <w:t>• Delivery: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