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Artist Management Agreement</w:t>
      </w:r>
    </w:p>
    <w:p>
      <w:pPr>
        <w:pStyle w:val="Subtitle"/>
      </w:pPr>
      <w:r>
        <w:t>Editable agreement template  |  Resource 13</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Manager services: [SPECIFY]</w:t>
      </w:r>
    </w:p>
    <w:p>
      <w:r>
        <w:t>• Commissionable income: [SPECIFY]</w:t>
      </w:r>
    </w:p>
    <w:p>
      <w:r>
        <w:t>• Excluded income: [SPECIFY]</w:t>
      </w:r>
    </w:p>
    <w:p>
      <w:r>
        <w:t>• Term: [SPECIFY]</w:t>
      </w:r>
    </w:p>
    <w:p>
      <w:r>
        <w:t>• Sunset: [SPECIFY]</w:t>
      </w:r>
    </w:p>
    <w:p>
      <w:r>
        <w:t>• Approvals: [SPECIFY]</w:t>
      </w:r>
    </w:p>
    <w:p>
      <w:r>
        <w:t>• Expenses: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