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Publicist and Public Relations Agreement</w:t>
      </w:r>
    </w:p>
    <w:p>
      <w:pPr>
        <w:pStyle w:val="Subtitle"/>
      </w:pPr>
      <w:r>
        <w:t>Editable agreement template  |  Resource 15</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Pitching services: [SPECIFY]</w:t>
      </w:r>
    </w:p>
    <w:p>
      <w:r>
        <w:t>• Campaign dates: [SPECIFY]</w:t>
      </w:r>
    </w:p>
    <w:p>
      <w:r>
        <w:t>• No guaranteed coverage: [SPECIFY]</w:t>
      </w:r>
    </w:p>
    <w:p>
      <w:r>
        <w:t>• Approvals: [SPECIFY]</w:t>
      </w:r>
    </w:p>
    <w:p>
      <w:r>
        <w:t>• Expenses: [SPECIFY]</w:t>
      </w:r>
    </w:p>
    <w:p>
      <w:r>
        <w:t>• Reporting: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