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Publishing Administration Agreement</w:t>
      </w:r>
    </w:p>
    <w:p>
      <w:pPr>
        <w:pStyle w:val="Subtitle"/>
      </w:pPr>
      <w:r>
        <w:t>Editable agreement template  |  Resource 21</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Composition schedule: [SPECIFY]</w:t>
      </w:r>
    </w:p>
    <w:p>
      <w:r>
        <w:t>• Administration authority: [SPECIFY]</w:t>
      </w:r>
    </w:p>
    <w:p>
      <w:r>
        <w:t>• Collection commission: [SPECIFY]</w:t>
      </w:r>
    </w:p>
    <w:p>
      <w:r>
        <w:t>• Accounting: [SPECIFY]</w:t>
      </w:r>
    </w:p>
    <w:p>
      <w:r>
        <w:t>• Term: [SPECIFY]</w:t>
      </w:r>
    </w:p>
    <w:p>
      <w:r>
        <w:t>• Reversion: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