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Photography Services Agreement</w:t>
      </w:r>
    </w:p>
    <w:p>
      <w:pPr>
        <w:pStyle w:val="Subtitle"/>
      </w:pPr>
      <w:r>
        <w:t>Editable agreement template  |  Resource 27</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Shoot plan: [SPECIFY]</w:t>
      </w:r>
    </w:p>
    <w:p>
      <w:r>
        <w:t>• Edited selects: [SPECIFY]</w:t>
      </w:r>
    </w:p>
    <w:p>
      <w:r>
        <w:t>• Raw files: [SPECIFY]</w:t>
      </w:r>
    </w:p>
    <w:p>
      <w:r>
        <w:t>• License scope: [SPECIFY]</w:t>
      </w:r>
    </w:p>
    <w:p>
      <w:r>
        <w:t>• Retouching: [SPECIFY]</w:t>
      </w:r>
    </w:p>
    <w:p>
      <w:r>
        <w:t>• Releases: [SPECIFY]</w:t>
      </w:r>
    </w:p>
    <w:p>
      <w:r>
        <w:t>• Delivery: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