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Graphic Design and Cover Artwork Agreement</w:t>
      </w:r>
    </w:p>
    <w:p>
      <w:pPr>
        <w:pStyle w:val="Subtitle"/>
      </w:pPr>
      <w:r>
        <w:t>Editable agreement template  |  Resource 28</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Design brief: [SPECIFY]</w:t>
      </w:r>
    </w:p>
    <w:p>
      <w:r>
        <w:t>• Artwork files: [SPECIFY]</w:t>
      </w:r>
    </w:p>
    <w:p>
      <w:r>
        <w:t>• Source files: [SPECIFY]</w:t>
      </w:r>
    </w:p>
    <w:p>
      <w:r>
        <w:t>• Fonts and stock licenses: [SPECIFY]</w:t>
      </w:r>
    </w:p>
    <w:p>
      <w:r>
        <w:t>• Revisions: [SPECIFY]</w:t>
      </w:r>
    </w:p>
    <w:p>
      <w:r>
        <w:t>• Copyright scope: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