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 Royalty Registration and Collection Blueprint</w:t>
      </w:r>
    </w:p>
    <w:p>
      <w:pPr>
        <w:pStyle w:val="Subtitle"/>
      </w:pPr>
      <w:r>
        <w:t>Independent entertainment business implementation guide  |  Blueprint 05</w:t>
      </w:r>
    </w:p>
    <w:p>
      <w:pPr>
        <w:pStyle w:val="Heading1"/>
      </w:pPr>
      <w:r>
        <w:t>Outcome</w:t>
      </w:r>
    </w:p>
    <w:p>
      <w:r>
        <w:t>Build a repeatable, documented process for music royalty registration and collection.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