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Recording Mixing and Mastering Workflow Blueprint</w:t>
      </w:r>
    </w:p>
    <w:p>
      <w:pPr>
        <w:pStyle w:val="Subtitle"/>
      </w:pPr>
      <w:r>
        <w:t>Independent entertainment business implementation guide  |  Blueprint 10</w:t>
      </w:r>
    </w:p>
    <w:p>
      <w:pPr>
        <w:pStyle w:val="Heading1"/>
      </w:pPr>
      <w:r>
        <w:t>Outcome</w:t>
      </w:r>
    </w:p>
    <w:p>
      <w:r>
        <w:t>Build a repeatable, documented process for professional recording mixing and mastering workflow.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