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Influencer Marketing and Brand Partnerships Blueprint</w:t>
      </w:r>
    </w:p>
    <w:p>
      <w:pPr>
        <w:pStyle w:val="Subtitle"/>
      </w:pPr>
      <w:r>
        <w:t>Independent entertainment business implementation guide  |  Blueprint 18</w:t>
      </w:r>
    </w:p>
    <w:p>
      <w:pPr>
        <w:pStyle w:val="Heading1"/>
      </w:pPr>
      <w:r>
        <w:t>Outcome</w:t>
      </w:r>
    </w:p>
    <w:p>
      <w:r>
        <w:t>Build a repeatable, documented process for influencer marketing and brand partnerships.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