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Recording Session Musician Agreement</w:t>
      </w:r>
    </w:p>
    <w:p>
      <w:pPr>
        <w:pStyle w:val="Subtitle"/>
      </w:pPr>
      <w:r>
        <w:t>Editable agreement template  |  Resource 07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Instruments and sessions: [SPECIFY]</w:t>
      </w:r>
    </w:p>
    <w:p>
      <w:r>
        <w:t>• Rates: [SPECIFY]</w:t>
      </w:r>
    </w:p>
    <w:p>
      <w:r>
        <w:t>• Master usage rights: [SPECIFY]</w:t>
      </w:r>
    </w:p>
    <w:p>
      <w:r>
        <w:t>• Credits: [SPECIFY]</w:t>
      </w:r>
    </w:p>
    <w:p>
      <w:r>
        <w:t>• Union obligations: [SPECIFY]</w:t>
      </w:r>
    </w:p>
    <w:p>
      <w:r>
        <w:t>• Delivery: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