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Confidentiality and Non-Disclosure Agreement</w:t>
      </w:r>
    </w:p>
    <w:p>
      <w:pPr>
        <w:pStyle w:val="Subtitle"/>
      </w:pPr>
      <w:r>
        <w:t>Editable agreement template  |  Resource 19</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Confidential information: [SPECIFY]</w:t>
      </w:r>
    </w:p>
    <w:p>
      <w:r>
        <w:t>• Permitted disclosures: [SPECIFY]</w:t>
      </w:r>
    </w:p>
    <w:p>
      <w:r>
        <w:t>• Exceptions: [SPECIFY]</w:t>
      </w:r>
    </w:p>
    <w:p>
      <w:r>
        <w:t>• Security: [SPECIFY]</w:t>
      </w:r>
    </w:p>
    <w:p>
      <w:r>
        <w:t>• Duration: [SPECIFY]</w:t>
      </w:r>
    </w:p>
    <w:p>
      <w:r>
        <w:t>• Remedies: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