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Music Catalog Administration Agreement</w:t>
      </w:r>
    </w:p>
    <w:p>
      <w:pPr>
        <w:pStyle w:val="Subtitle"/>
      </w:pPr>
      <w:r>
        <w:t>Editable agreement template  |  Resource 22</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Catalog schedule: [SPECIFY]</w:t>
      </w:r>
    </w:p>
    <w:p>
      <w:r>
        <w:t>• Metadata: [SPECIFY]</w:t>
      </w:r>
    </w:p>
    <w:p>
      <w:r>
        <w:t>• Registrations: [SPECIFY]</w:t>
      </w:r>
    </w:p>
    <w:p>
      <w:r>
        <w:t>• Authorized accounts: [SPECIFY]</w:t>
      </w:r>
    </w:p>
    <w:p>
      <w:r>
        <w:t>• Reporting: [SPECIFY]</w:t>
      </w:r>
    </w:p>
    <w:p>
      <w:r>
        <w:t>• Termination handoff: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