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Synchronization Licensing Agreement</w:t>
      </w:r>
    </w:p>
    <w:p>
      <w:pPr>
        <w:pStyle w:val="Subtitle"/>
      </w:pPr>
      <w:r>
        <w:t>Editable agreement template  |  Resource 23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Composition: [SPECIFY]</w:t>
      </w:r>
    </w:p>
    <w:p>
      <w:r>
        <w:t>• Audiovisual project: [SPECIFY]</w:t>
      </w:r>
    </w:p>
    <w:p>
      <w:r>
        <w:t>• Media: [SPECIFY]</w:t>
      </w:r>
    </w:p>
    <w:p>
      <w:r>
        <w:t>• Territory: [SPECIFY]</w:t>
      </w:r>
    </w:p>
    <w:p>
      <w:r>
        <w:t>• Term: [SPECIFY]</w:t>
      </w:r>
    </w:p>
    <w:p>
      <w:r>
        <w:t>• Fees: [SPECIFY]</w:t>
      </w:r>
    </w:p>
    <w:p>
      <w:r>
        <w:t>• Exclusivity: [SPECIFY]</w:t>
      </w:r>
    </w:p>
    <w:p>
      <w:r>
        <w:t>• Cue sheets: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