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Media Content Licensing Agreement</w:t>
      </w:r>
    </w:p>
    <w:p>
      <w:pPr>
        <w:pStyle w:val="Subtitle"/>
      </w:pPr>
      <w:r>
        <w:t>Editable agreement template  |  Resource 46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Identified content: [SPECIFY]</w:t>
      </w:r>
    </w:p>
    <w:p>
      <w:r>
        <w:t>• Organic and paid use: [SPECIFY]</w:t>
      </w:r>
    </w:p>
    <w:p>
      <w:r>
        <w:t>• Duration: [SPECIFY]</w:t>
      </w:r>
    </w:p>
    <w:p>
      <w:r>
        <w:t>• Territories: [SPECIFY]</w:t>
      </w:r>
    </w:p>
    <w:p>
      <w:r>
        <w:t>• Edits: [SPECIFY]</w:t>
      </w:r>
    </w:p>
    <w:p>
      <w:r>
        <w:t>• Sublicensing: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