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Performance Technical Rider</w:t>
      </w:r>
    </w:p>
    <w:p>
      <w:pPr>
        <w:pStyle w:val="Subtitle"/>
      </w:pPr>
      <w:r>
        <w:t>Editable agreement template  |  Resource 53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Stage plot: [SPECIFY]</w:t>
      </w:r>
    </w:p>
    <w:p>
      <w:r>
        <w:t>• Inputs: [SPECIFY]</w:t>
      </w:r>
    </w:p>
    <w:p>
      <w:r>
        <w:t>• Monitors: [SPECIFY]</w:t>
      </w:r>
    </w:p>
    <w:p>
      <w:r>
        <w:t>• Backline: [SPECIFY]</w:t>
      </w:r>
    </w:p>
    <w:p>
      <w:r>
        <w:t>• Power: [SPECIFY]</w:t>
      </w:r>
    </w:p>
    <w:p>
      <w:r>
        <w:t>• Soundcheck: [SPECIFY]</w:t>
      </w:r>
    </w:p>
    <w:p>
      <w:r>
        <w:t>• Substitutions: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Incorporation: This rider becomes part of the related [PERFORMANCE / EVENT] agreement only when expressly accepted by both parties. In a conflict, precedence is: [SPECIFY].</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