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 Performance Hospitality Rider</w:t>
      </w:r>
    </w:p>
    <w:p>
      <w:pPr>
        <w:pStyle w:val="Subtitle"/>
      </w:pPr>
      <w:r>
        <w:t>Editable agreement template  |  Resource 54</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Dressing room: [SPECIFY]</w:t>
      </w:r>
    </w:p>
    <w:p>
      <w:r>
        <w:t>• Water and meals: [SPECIFY]</w:t>
      </w:r>
    </w:p>
    <w:p>
      <w:r>
        <w:t>• Lodging: [SPECIFY]</w:t>
      </w:r>
    </w:p>
    <w:p>
      <w:r>
        <w:t>• Transport: [SPECIFY]</w:t>
      </w:r>
    </w:p>
    <w:p>
      <w:r>
        <w:t>• Accessibility: [SPECIFY]</w:t>
      </w:r>
    </w:p>
    <w:p>
      <w:r>
        <w:t>• Contacts: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r>
        <w:t>Incorporation: This rider becomes part of the related [PERFORMANCE / EVENT] agreement only when expressly accepted by both parties. In a conflict, precedence is: [SPECIFY].</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