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 and Greet and Fan Experience Agreement</w:t>
      </w:r>
    </w:p>
    <w:p>
      <w:pPr>
        <w:pStyle w:val="Subtitle"/>
      </w:pPr>
      <w:r>
        <w:t>Editable agreement template  |  Resource 68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Fan benefits: [SPECIFY]</w:t>
      </w:r>
    </w:p>
    <w:p>
      <w:r>
        <w:t>• Access rules: [SPECIFY]</w:t>
      </w:r>
    </w:p>
    <w:p>
      <w:r>
        <w:t>• Refunds: [SPECIFY]</w:t>
      </w:r>
    </w:p>
    <w:p>
      <w:r>
        <w:t>• Safety: [SPECIFY]</w:t>
      </w:r>
    </w:p>
    <w:p>
      <w:r>
        <w:t>• Photo rights: [SPECIFY]</w:t>
      </w:r>
    </w:p>
    <w:p>
      <w:r>
        <w:t>• Accessibility: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