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Artist Branding and Professional Identity Blueprint</w:t>
      </w:r>
    </w:p>
    <w:p>
      <w:pPr>
        <w:pStyle w:val="Subtitle"/>
      </w:pPr>
      <w:r>
        <w:t>Independent entertainment business implementation guide  |  Blueprint 08</w:t>
      </w:r>
    </w:p>
    <w:p>
      <w:pPr>
        <w:pStyle w:val="Heading1"/>
      </w:pPr>
      <w:r>
        <w:t>Outcome</w:t>
      </w:r>
    </w:p>
    <w:p>
      <w:r>
        <w:t>Build a repeatable, documented process for artist branding and professional identity.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