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Sync Licensing and Music Placement Blueprint</w:t>
      </w:r>
    </w:p>
    <w:p>
      <w:pPr>
        <w:pStyle w:val="Subtitle"/>
      </w:pPr>
      <w:r>
        <w:t>Independent entertainment business implementation guide  |  Blueprint 12</w:t>
      </w:r>
    </w:p>
    <w:p>
      <w:pPr>
        <w:pStyle w:val="Heading1"/>
      </w:pPr>
      <w:r>
        <w:t>Outcome</w:t>
      </w:r>
    </w:p>
    <w:p>
      <w:r>
        <w:t>Build a repeatable, documented process for sync licensing and music placement.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