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Business Financial Management and Funding Blueprint</w:t>
      </w:r>
    </w:p>
    <w:p>
      <w:pPr>
        <w:pStyle w:val="Subtitle"/>
      </w:pPr>
      <w:r>
        <w:t>Independent entertainment business implementation guide  |  Blueprint 13</w:t>
      </w:r>
    </w:p>
    <w:p>
      <w:pPr>
        <w:pStyle w:val="Heading1"/>
      </w:pPr>
      <w:r>
        <w:t>Outcome</w:t>
      </w:r>
    </w:p>
    <w:p>
      <w:r>
        <w:t>Build a repeatable, documented process for music business financial management and funding.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