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 Business Systems and Automation Blueprint</w:t>
      </w:r>
    </w:p>
    <w:p>
      <w:pPr>
        <w:pStyle w:val="Subtitle"/>
      </w:pPr>
      <w:r>
        <w:t>Independent entertainment business implementation guide  |  Blueprint 14</w:t>
      </w:r>
    </w:p>
    <w:p>
      <w:pPr>
        <w:pStyle w:val="Heading1"/>
      </w:pPr>
      <w:r>
        <w:t>Outcome</w:t>
      </w:r>
    </w:p>
    <w:p>
      <w:r>
        <w:t>Build a repeatable, documented process for music business systems and automation.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