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Music Career and Long-Term Wealth Blueprint</w:t>
      </w:r>
    </w:p>
    <w:p>
      <w:pPr>
        <w:pStyle w:val="Subtitle"/>
      </w:pPr>
      <w:r>
        <w:t>Independent entertainment business implementation guide  |  Blueprint 15</w:t>
      </w:r>
    </w:p>
    <w:p>
      <w:pPr>
        <w:pStyle w:val="Heading1"/>
      </w:pPr>
      <w:r>
        <w:t>Outcome</w:t>
      </w:r>
    </w:p>
    <w:p>
      <w:r>
        <w:t>Build a repeatable, documented process for independent music career and long-term wealth.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