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Show and Touring Production Blueprint</w:t>
      </w:r>
    </w:p>
    <w:p>
      <w:pPr>
        <w:pStyle w:val="Subtitle"/>
      </w:pPr>
      <w:r>
        <w:t>Independent entertainment business implementation guide  |  Blueprint 20</w:t>
      </w:r>
    </w:p>
    <w:p>
      <w:pPr>
        <w:pStyle w:val="Heading1"/>
      </w:pPr>
      <w:r>
        <w:t>Outcome</w:t>
      </w:r>
    </w:p>
    <w:p>
      <w:r>
        <w:t>Build a repeatable, documented process for live show and touring production.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