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7500" cy="31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318" w:after="0"/>
        <w:ind w:left="8" w:right="84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Location: Sitename! , 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Date of inspection:</w:t>
      </w:r>
    </w:p>
    <w:p>
      <w:pPr>
        <w:autoSpaceDN w:val="0"/>
        <w:tabs>
          <w:tab w:pos="728" w:val="left"/>
        </w:tabs>
        <w:autoSpaceDE w:val="0"/>
        <w:widowControl/>
        <w:spacing w:line="264" w:lineRule="exact" w:before="1036" w:after="0"/>
        <w:ind w:left="8" w:right="0" w:firstLine="0"/>
        <w:jc w:val="left"/>
      </w:pPr>
      <w:r>
        <w:rPr>
          <w:rFonts w:ascii="Times New Roman" w:hAnsi="Times New Roman" w:eastAsia="Times New Roman"/>
          <w:b/>
          <w:i w:val="0"/>
          <w:color w:val="323693"/>
          <w:sz w:val="24"/>
        </w:rPr>
        <w:t xml:space="preserve">A. </w:t>
      </w:r>
      <w:r>
        <w:tab/>
      </w:r>
      <w:r>
        <w:rPr>
          <w:rFonts w:ascii="Times New Roman" w:hAnsi="Times New Roman" w:eastAsia="Times New Roman"/>
          <w:b/>
          <w:i w:val="0"/>
          <w:color w:val="323693"/>
          <w:sz w:val="24"/>
        </w:rPr>
        <w:t>SUMMARY OF ASBESTOS INSPECTION FINDINGS</w:t>
      </w:r>
    </w:p>
    <w:p>
      <w:pPr>
        <w:autoSpaceDN w:val="0"/>
        <w:autoSpaceDE w:val="0"/>
        <w:widowControl/>
        <w:spacing w:line="308" w:lineRule="exact" w:before="226" w:after="0"/>
        <w:ind w:left="728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Federal and State of Michigan regulations governing asbestos consider any material containing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greater than one percent (1%) asbestos by weight to be an ACM.</w:t>
      </w:r>
    </w:p>
    <w:p>
      <w:pPr>
        <w:autoSpaceDN w:val="0"/>
        <w:autoSpaceDE w:val="0"/>
        <w:widowControl/>
        <w:spacing w:line="308" w:lineRule="exact" w:before="246" w:after="0"/>
        <w:ind w:left="728" w:right="116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US EPA AHERA regulation (40 CFR Part 763) and State of Michigan regulations state that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 single sample result reported as greater than 1% asbestos from a homogeneous material group is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sufficient to classify that material as an ACM.</w:t>
      </w:r>
    </w:p>
    <w:p>
      <w:pPr>
        <w:autoSpaceDN w:val="0"/>
        <w:autoSpaceDE w:val="0"/>
        <w:widowControl/>
        <w:spacing w:line="308" w:lineRule="exact" w:before="248" w:after="0"/>
        <w:ind w:left="728" w:right="116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When “No Asbestos Detected” appears in this report, it should be interpreted as meaning that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no asbestos was observed in the sample material above the reliable limit of detection for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PLM method (1%). When “&lt;1%” appears in this report, it should be interpreted as meaning that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asbestos was observed in the sample in concentrations between 0.1% and 1%. The tables on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following pages provide a summary of the analytical results of the suspect asbestos containing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material samples that were collected.</w:t>
      </w:r>
    </w:p>
    <w:p>
      <w:pPr>
        <w:autoSpaceDN w:val="0"/>
        <w:autoSpaceDE w:val="0"/>
        <w:widowControl/>
        <w:spacing w:line="308" w:lineRule="exact" w:before="246" w:after="284"/>
        <w:ind w:left="728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NOTE: No samples were collected in the Small Shed, Large Shed, East and West Silos, and Small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Green Shed.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316"/>
        <w:gridCol w:w="1316"/>
        <w:gridCol w:w="1316"/>
        <w:gridCol w:w="1316"/>
        <w:gridCol w:w="1316"/>
        <w:gridCol w:w="1316"/>
        <w:gridCol w:w="1316"/>
        <w:gridCol w:w="1316"/>
      </w:tblGrid>
      <w:tr>
        <w:trPr>
          <w:trHeight w:hRule="exact" w:val="536"/>
        </w:trPr>
        <w:tc>
          <w:tcPr>
            <w:tcW w:type="dxa" w:w="9360"/>
            <w:gridSpan w:val="8"/>
            <w:tcBorders>
              <w:start w:sz="6.400000000000091" w:val="single" w:color="#000000"/>
              <w:end w:sz="5.599999999999454" w:val="single" w:color="#000000"/>
              <w:bottom w:sz="6.400000000000091" w:val="single" w:color="#000000"/>
            </w:tcBorders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0"/>
              </w:rPr>
              <w:t>Asbestos Bulk Sample Results - Office Building: Leased Area on Second Floor</w:t>
            </w:r>
          </w:p>
        </w:tc>
      </w:tr>
      <w:tr>
        <w:trPr>
          <w:trHeight w:hRule="exact" w:val="814"/>
        </w:trPr>
        <w:tc>
          <w:tcPr>
            <w:tcW w:type="dxa" w:w="65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HA*</w:t>
            </w:r>
          </w:p>
        </w:tc>
        <w:tc>
          <w:tcPr>
            <w:tcW w:type="dxa" w:w="998"/>
            <w:tcBorders>
              <w:start w:sz="5.599999999999909" w:val="single" w:color="#000000"/>
              <w:top w:sz="6.400000000000091" w:val="single" w:color="#000000"/>
              <w:end w:sz="6.399999999999864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Material</w:t>
            </w:r>
          </w:p>
        </w:tc>
        <w:tc>
          <w:tcPr>
            <w:tcW w:type="dxa" w:w="722"/>
            <w:tcBorders>
              <w:start w:sz="6.399999999999864" w:val="single" w:color="#000000"/>
              <w:top w:sz="6.400000000000091" w:val="single" w:color="#000000"/>
              <w:end w:sz="6.399999999999864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Floor</w:t>
            </w:r>
          </w:p>
        </w:tc>
        <w:tc>
          <w:tcPr>
            <w:tcW w:type="dxa" w:w="1514"/>
            <w:tcBorders>
              <w:start w:sz="6.399999999999864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Material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Location</w:t>
            </w:r>
          </w:p>
        </w:tc>
        <w:tc>
          <w:tcPr>
            <w:tcW w:type="dxa" w:w="1828"/>
            <w:tcBorders>
              <w:start w:sz="6.399999999999636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Friable /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Non-Friable*</w:t>
            </w:r>
          </w:p>
        </w:tc>
        <w:tc>
          <w:tcPr>
            <w:tcW w:type="dxa" w:w="111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Condition</w:t>
            </w:r>
          </w:p>
        </w:tc>
        <w:tc>
          <w:tcPr>
            <w:tcW w:type="dxa" w:w="131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Sample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Results</w:t>
            </w:r>
          </w:p>
        </w:tc>
        <w:tc>
          <w:tcPr>
            <w:tcW w:type="dxa" w:w="1222"/>
            <w:tcBorders>
              <w:start w:sz="5.599999999999909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Quantity**</w:t>
            </w:r>
          </w:p>
        </w:tc>
      </w:tr>
      <w:tr>
        <w:trPr>
          <w:trHeight w:hRule="exact" w:val="256"/>
        </w:trPr>
        <w:tc>
          <w:tcPr>
            <w:tcW w:type="dxa" w:w="65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599999999999909" w:val="single" w:color="#000000"/>
              <w:top w:sz="5.599999999999909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399999999999864" w:val="single" w:color="#000000"/>
              <w:top w:sz="5.599999999999909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4"/>
            <w:tcBorders>
              <w:start w:sz="6.399999999999864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6.399999999999636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4"/>
        </w:trPr>
        <w:tc>
          <w:tcPr>
            <w:tcW w:type="dxa" w:w="65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599999999999909" w:val="single" w:color="#000000"/>
              <w:top w:sz="6.400000000000091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399999999999864" w:val="single" w:color="#000000"/>
              <w:top w:sz="6.400000000000091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4"/>
            <w:tcBorders>
              <w:start w:sz="6.399999999999864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6.399999999999636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2"/>
            <w:tcBorders>
              <w:start w:sz="5.599999999999909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8"/>
        </w:trPr>
        <w:tc>
          <w:tcPr>
            <w:tcW w:type="dxa" w:w="65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599999999999909" w:val="single" w:color="#000000"/>
              <w:top w:sz="5.599999999999909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399999999999864" w:val="single" w:color="#000000"/>
              <w:top w:sz="5.599999999999909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4"/>
            <w:tcBorders>
              <w:start w:sz="6.399999999999864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6.39999999999963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4"/>
        </w:trPr>
        <w:tc>
          <w:tcPr>
            <w:tcW w:type="dxa" w:w="65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599999999999909" w:val="single" w:color="#000000"/>
              <w:top w:sz="5.600000000000364" w:val="single" w:color="#000000"/>
              <w:end w:sz="6.3999999999998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399999999999864" w:val="single" w:color="#000000"/>
              <w:top w:sz="5.600000000000364" w:val="single" w:color="#000000"/>
              <w:end w:sz="6.3999999999998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4"/>
            <w:tcBorders>
              <w:start w:sz="6.399999999999864" w:val="single" w:color="#000000"/>
              <w:top w:sz="5.600000000000364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6.399999999999636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2"/>
            <w:tcBorders>
              <w:start w:sz="5.599999999999909" w:val="single" w:color="#000000"/>
              <w:top w:sz="5.600000000000364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6"/>
        </w:trPr>
        <w:tc>
          <w:tcPr>
            <w:tcW w:type="dxa" w:w="65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599999999999909" w:val="single" w:color="#000000"/>
              <w:top w:sz="6.399999999999636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399999999999864" w:val="single" w:color="#000000"/>
              <w:top w:sz="6.399999999999636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4"/>
            <w:tcBorders>
              <w:start w:sz="6.399999999999864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6.3999999999996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2"/>
            <w:tcBorders>
              <w:start w:sz="5.599999999999909" w:val="single" w:color="#000000"/>
              <w:top w:sz="6.399999999999636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4"/>
        </w:trPr>
        <w:tc>
          <w:tcPr>
            <w:tcW w:type="dxa" w:w="65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599999999999909" w:val="single" w:color="#000000"/>
              <w:top w:sz="5.600000000000364" w:val="single" w:color="#000000"/>
              <w:end w:sz="6.3999999999998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399999999999864" w:val="single" w:color="#000000"/>
              <w:top w:sz="5.600000000000364" w:val="single" w:color="#000000"/>
              <w:end w:sz="6.3999999999998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4"/>
            <w:tcBorders>
              <w:start w:sz="6.399999999999864" w:val="single" w:color="#000000"/>
              <w:top w:sz="5.600000000000364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6.399999999999636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2"/>
            <w:tcBorders>
              <w:start w:sz="5.599999999999909" w:val="single" w:color="#000000"/>
              <w:top w:sz="5.600000000000364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6"/>
        </w:trPr>
        <w:tc>
          <w:tcPr>
            <w:tcW w:type="dxa" w:w="65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599999999999909" w:val="single" w:color="#000000"/>
              <w:top w:sz="6.399999999999636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399999999999864" w:val="single" w:color="#000000"/>
              <w:top w:sz="6.399999999999636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4"/>
            <w:tcBorders>
              <w:start w:sz="6.399999999999864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6.3999999999996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2"/>
            <w:tcBorders>
              <w:start w:sz="5.599999999999909" w:val="single" w:color="#000000"/>
              <w:top w:sz="6.399999999999636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4"/>
        </w:trPr>
        <w:tc>
          <w:tcPr>
            <w:tcW w:type="dxa" w:w="65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599999999999909" w:val="single" w:color="#000000"/>
              <w:top w:sz="5.600000000000364" w:val="single" w:color="#000000"/>
              <w:end w:sz="6.3999999999998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399999999999864" w:val="single" w:color="#000000"/>
              <w:top w:sz="5.600000000000364" w:val="single" w:color="#000000"/>
              <w:end w:sz="6.3999999999998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4"/>
            <w:tcBorders>
              <w:start w:sz="6.399999999999864" w:val="single" w:color="#000000"/>
              <w:top w:sz="5.600000000000364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6.399999999999636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2"/>
            <w:tcBorders>
              <w:start w:sz="5.599999999999909" w:val="single" w:color="#000000"/>
              <w:top w:sz="5.600000000000364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6"/>
        </w:trPr>
        <w:tc>
          <w:tcPr>
            <w:tcW w:type="dxa" w:w="65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599999999999909" w:val="single" w:color="#000000"/>
              <w:top w:sz="6.399999999999636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399999999999864" w:val="single" w:color="#000000"/>
              <w:top w:sz="6.399999999999636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4"/>
            <w:tcBorders>
              <w:start w:sz="6.399999999999864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6.3999999999996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2"/>
            <w:tcBorders>
              <w:start w:sz="5.599999999999909" w:val="single" w:color="#000000"/>
              <w:top w:sz="6.399999999999636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4"/>
        </w:trPr>
        <w:tc>
          <w:tcPr>
            <w:tcW w:type="dxa" w:w="65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599999999999909" w:val="single" w:color="#000000"/>
              <w:top w:sz="5.600000000000364" w:val="single" w:color="#000000"/>
              <w:end w:sz="6.3999999999998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399999999999864" w:val="single" w:color="#000000"/>
              <w:top w:sz="5.600000000000364" w:val="single" w:color="#000000"/>
              <w:end w:sz="6.3999999999998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4"/>
            <w:tcBorders>
              <w:start w:sz="6.399999999999864" w:val="single" w:color="#000000"/>
              <w:top w:sz="5.600000000000364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6.399999999999636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2"/>
            <w:tcBorders>
              <w:start w:sz="5.599999999999909" w:val="single" w:color="#000000"/>
              <w:top w:sz="5.600000000000364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6"/>
        </w:trPr>
        <w:tc>
          <w:tcPr>
            <w:tcW w:type="dxa" w:w="65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599999999999909" w:val="single" w:color="#000000"/>
              <w:top w:sz="6.399999999999636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399999999999864" w:val="single" w:color="#000000"/>
              <w:top w:sz="6.399999999999636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4"/>
            <w:tcBorders>
              <w:start w:sz="6.399999999999864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6.3999999999996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2"/>
            <w:tcBorders>
              <w:start w:sz="5.599999999999909" w:val="single" w:color="#000000"/>
              <w:top w:sz="6.399999999999636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4"/>
        </w:trPr>
        <w:tc>
          <w:tcPr>
            <w:tcW w:type="dxa" w:w="65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599999999999909" w:val="single" w:color="#000000"/>
              <w:top w:sz="5.600000000000364" w:val="single" w:color="#000000"/>
              <w:end w:sz="6.3999999999998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399999999999864" w:val="single" w:color="#000000"/>
              <w:top w:sz="5.600000000000364" w:val="single" w:color="#000000"/>
              <w:end w:sz="6.3999999999998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4"/>
            <w:tcBorders>
              <w:start w:sz="6.399999999999864" w:val="single" w:color="#000000"/>
              <w:top w:sz="5.600000000000364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6.399999999999636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2"/>
            <w:tcBorders>
              <w:start w:sz="5.599999999999909" w:val="single" w:color="#000000"/>
              <w:top w:sz="5.600000000000364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6"/>
        </w:trPr>
        <w:tc>
          <w:tcPr>
            <w:tcW w:type="dxa" w:w="65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599999999999909" w:val="single" w:color="#000000"/>
              <w:top w:sz="6.399999999999636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399999999999864" w:val="single" w:color="#000000"/>
              <w:top w:sz="6.399999999999636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4"/>
            <w:tcBorders>
              <w:start w:sz="6.399999999999864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6.3999999999996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2"/>
            <w:tcBorders>
              <w:start w:sz="5.599999999999909" w:val="single" w:color="#000000"/>
              <w:top w:sz="6.399999999999636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62"/>
        </w:trPr>
        <w:tc>
          <w:tcPr>
            <w:tcW w:type="dxa" w:w="9360"/>
            <w:gridSpan w:val="8"/>
            <w:tcBorders>
              <w:start w:sz="6.400000000000091" w:val="single" w:color="#000000"/>
              <w:top w:sz="5.600000000000364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2" w:after="0"/>
              <w:ind w:left="120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* HA = Homogeneous Area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* These estimates are limited to the quantities of physically accessible materials observed on site by the inspector;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quantities stated are estimated and any final quantities and takeoffs are the responsibility of the abatement and/or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demolition contractor.</w:t>
            </w:r>
          </w:p>
        </w:tc>
      </w:tr>
    </w:tbl>
    <w:p>
      <w:pPr>
        <w:autoSpaceDN w:val="0"/>
        <w:autoSpaceDE w:val="0"/>
        <w:widowControl/>
        <w:spacing w:line="244" w:lineRule="exact" w:before="868" w:after="0"/>
        <w:ind w:left="0" w:right="534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Page 1 of 2</w:t>
      </w:r>
    </w:p>
    <w:p>
      <w:pPr>
        <w:sectPr>
          <w:pgSz w:w="12240" w:h="15840"/>
          <w:pgMar w:top="150" w:right="280" w:bottom="300" w:left="1432" w:header="720" w:footer="720" w:gutter="0"/>
          <w:cols w:space="720" w:num="1" w:equalWidth="0">
            <w:col w:w="105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254" w:lineRule="exact" w:before="0" w:after="882"/>
        <w:ind w:left="8" w:right="73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Location: Sitename! , 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Date of inspection: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174"/>
        <w:gridCol w:w="1174"/>
        <w:gridCol w:w="1174"/>
        <w:gridCol w:w="1174"/>
        <w:gridCol w:w="1174"/>
        <w:gridCol w:w="1174"/>
        <w:gridCol w:w="1174"/>
        <w:gridCol w:w="1174"/>
      </w:tblGrid>
      <w:tr>
        <w:trPr>
          <w:trHeight w:hRule="exact" w:val="536"/>
        </w:trPr>
        <w:tc>
          <w:tcPr>
            <w:tcW w:type="dxa" w:w="9360"/>
            <w:gridSpan w:val="8"/>
            <w:tcBorders>
              <w:start w:sz="6.400000000000091" w:val="single" w:color="#000000"/>
              <w:end w:sz="5.599999999999454" w:val="single" w:color="#000000"/>
              <w:bottom w:sz="5.599999999999909" w:val="single" w:color="#000000"/>
            </w:tcBorders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0"/>
              </w:rPr>
              <w:t>Asbestos Bulk Sample Results - Cleaver Brooks Boiler Room</w:t>
            </w:r>
          </w:p>
        </w:tc>
      </w:tr>
      <w:tr>
        <w:trPr>
          <w:trHeight w:hRule="exact" w:val="812"/>
        </w:trPr>
        <w:tc>
          <w:tcPr>
            <w:tcW w:type="dxa" w:w="1372"/>
            <w:tcBorders>
              <w:start w:sz="6.400000000000091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Homogenous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Area</w:t>
            </w:r>
          </w:p>
        </w:tc>
        <w:tc>
          <w:tcPr>
            <w:tcW w:type="dxa" w:w="998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Material</w:t>
            </w:r>
          </w:p>
        </w:tc>
        <w:tc>
          <w:tcPr>
            <w:tcW w:type="dxa" w:w="722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Floor</w:t>
            </w:r>
          </w:p>
        </w:tc>
        <w:tc>
          <w:tcPr>
            <w:tcW w:type="dxa" w:w="1346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Material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Location</w:t>
            </w:r>
          </w:p>
        </w:tc>
        <w:tc>
          <w:tcPr>
            <w:tcW w:type="dxa" w:w="1624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Friable /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Non-Friable*</w:t>
            </w:r>
          </w:p>
        </w:tc>
        <w:tc>
          <w:tcPr>
            <w:tcW w:type="dxa" w:w="111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Condition</w:t>
            </w:r>
          </w:p>
        </w:tc>
        <w:tc>
          <w:tcPr>
            <w:tcW w:type="dxa" w:w="116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Sample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Results</w:t>
            </w:r>
          </w:p>
        </w:tc>
        <w:tc>
          <w:tcPr>
            <w:tcW w:type="dxa" w:w="10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Quantity</w:t>
            </w:r>
          </w:p>
        </w:tc>
      </w:tr>
      <w:tr>
        <w:trPr>
          <w:trHeight w:hRule="exact" w:val="256"/>
        </w:trPr>
        <w:tc>
          <w:tcPr>
            <w:tcW w:type="dxa" w:w="1372"/>
            <w:tcBorders>
              <w:start w:sz="6.400000000000091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4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6"/>
        </w:trPr>
        <w:tc>
          <w:tcPr>
            <w:tcW w:type="dxa" w:w="1372"/>
            <w:tcBorders>
              <w:start w:sz="6.400000000000091" w:val="single" w:color="#000000"/>
              <w:top w:sz="6.400000000000091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4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2"/>
            <w:tcBorders>
              <w:start w:sz="5.599999999999909" w:val="single" w:color="#000000"/>
              <w:top w:sz="6.400000000000091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6"/>
        </w:trPr>
        <w:tc>
          <w:tcPr>
            <w:tcW w:type="dxa" w:w="1372"/>
            <w:tcBorders>
              <w:start w:sz="6.400000000000091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4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2"/>
            <w:tcBorders>
              <w:start w:sz="5.599999999999909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2"/>
        </w:trPr>
        <w:tc>
          <w:tcPr>
            <w:tcW w:type="dxa" w:w="1372"/>
            <w:tcBorders>
              <w:start w:sz="6.400000000000091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4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174"/>
        <w:gridCol w:w="1174"/>
        <w:gridCol w:w="1174"/>
        <w:gridCol w:w="1174"/>
        <w:gridCol w:w="1174"/>
        <w:gridCol w:w="1174"/>
        <w:gridCol w:w="1174"/>
        <w:gridCol w:w="1174"/>
      </w:tblGrid>
      <w:tr>
        <w:trPr>
          <w:trHeight w:hRule="exact" w:val="536"/>
        </w:trPr>
        <w:tc>
          <w:tcPr>
            <w:tcW w:type="dxa" w:w="9360"/>
            <w:gridSpan w:val="8"/>
            <w:tcBorders>
              <w:start w:sz="6.400000000000091" w:val="single" w:color="#000000"/>
              <w:end w:sz="5.599999999999454" w:val="single" w:color="#000000"/>
              <w:bottom w:sz="6.400000000000091" w:val="single" w:color="#000000"/>
            </w:tcBorders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0"/>
              </w:rPr>
              <w:t>Asbestos Bulk Sample Results - Muria Boiler Room</w:t>
            </w:r>
          </w:p>
        </w:tc>
      </w:tr>
      <w:tr>
        <w:trPr>
          <w:trHeight w:hRule="exact" w:val="814"/>
        </w:trPr>
        <w:tc>
          <w:tcPr>
            <w:tcW w:type="dxa" w:w="1372"/>
            <w:tcBorders>
              <w:start w:sz="6.400000000000091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Homogenous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Area</w:t>
            </w:r>
          </w:p>
        </w:tc>
        <w:tc>
          <w:tcPr>
            <w:tcW w:type="dxa" w:w="998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Material</w:t>
            </w:r>
          </w:p>
        </w:tc>
        <w:tc>
          <w:tcPr>
            <w:tcW w:type="dxa" w:w="722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Floor</w:t>
            </w:r>
          </w:p>
        </w:tc>
        <w:tc>
          <w:tcPr>
            <w:tcW w:type="dxa" w:w="1346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Material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Location</w:t>
            </w:r>
          </w:p>
        </w:tc>
        <w:tc>
          <w:tcPr>
            <w:tcW w:type="dxa" w:w="1624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Friable /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Non-Friable*</w:t>
            </w:r>
          </w:p>
        </w:tc>
        <w:tc>
          <w:tcPr>
            <w:tcW w:type="dxa" w:w="111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Condition</w:t>
            </w:r>
          </w:p>
        </w:tc>
        <w:tc>
          <w:tcPr>
            <w:tcW w:type="dxa" w:w="116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Sample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Results</w:t>
            </w:r>
          </w:p>
        </w:tc>
        <w:tc>
          <w:tcPr>
            <w:tcW w:type="dxa" w:w="1022"/>
            <w:tcBorders>
              <w:start w:sz="5.599999999999909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Quantity</w:t>
            </w:r>
          </w:p>
        </w:tc>
      </w:tr>
      <w:tr>
        <w:trPr>
          <w:trHeight w:hRule="exact" w:val="256"/>
        </w:trPr>
        <w:tc>
          <w:tcPr>
            <w:tcW w:type="dxa" w:w="1372"/>
            <w:tcBorders>
              <w:start w:sz="6.400000000000091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4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4"/>
        </w:trPr>
        <w:tc>
          <w:tcPr>
            <w:tcW w:type="dxa" w:w="1372"/>
            <w:tcBorders>
              <w:start w:sz="6.400000000000091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4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174"/>
        <w:gridCol w:w="1174"/>
        <w:gridCol w:w="1174"/>
        <w:gridCol w:w="1174"/>
        <w:gridCol w:w="1174"/>
        <w:gridCol w:w="1174"/>
        <w:gridCol w:w="1174"/>
        <w:gridCol w:w="1174"/>
      </w:tblGrid>
      <w:tr>
        <w:trPr>
          <w:trHeight w:hRule="exact" w:val="534"/>
        </w:trPr>
        <w:tc>
          <w:tcPr>
            <w:tcW w:type="dxa" w:w="9360"/>
            <w:gridSpan w:val="8"/>
            <w:tcBorders>
              <w:start w:sz="6.400000000000091" w:val="single" w:color="#000000"/>
              <w:end w:sz="5.599999999999454" w:val="single" w:color="#000000"/>
              <w:bottom w:sz="5.599999999999909" w:val="single" w:color="#000000"/>
            </w:tcBorders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0"/>
              </w:rPr>
              <w:t>Asbestos Bulk Sample Results - Piping Adjacent to Rail Spur</w:t>
            </w:r>
          </w:p>
        </w:tc>
      </w:tr>
      <w:tr>
        <w:trPr>
          <w:trHeight w:hRule="exact" w:val="816"/>
        </w:trPr>
        <w:tc>
          <w:tcPr>
            <w:tcW w:type="dxa" w:w="1372"/>
            <w:tcBorders>
              <w:start w:sz="6.400000000000091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Homogenous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Area</w:t>
            </w:r>
          </w:p>
        </w:tc>
        <w:tc>
          <w:tcPr>
            <w:tcW w:type="dxa" w:w="998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Material</w:t>
            </w:r>
          </w:p>
        </w:tc>
        <w:tc>
          <w:tcPr>
            <w:tcW w:type="dxa" w:w="722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Floor</w:t>
            </w:r>
          </w:p>
        </w:tc>
        <w:tc>
          <w:tcPr>
            <w:tcW w:type="dxa" w:w="1346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Material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Location</w:t>
            </w:r>
          </w:p>
        </w:tc>
        <w:tc>
          <w:tcPr>
            <w:tcW w:type="dxa" w:w="1624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Friable /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Non-Friable*</w:t>
            </w:r>
          </w:p>
        </w:tc>
        <w:tc>
          <w:tcPr>
            <w:tcW w:type="dxa" w:w="111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Condition</w:t>
            </w:r>
          </w:p>
        </w:tc>
        <w:tc>
          <w:tcPr>
            <w:tcW w:type="dxa" w:w="116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Sample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Results</w:t>
            </w:r>
          </w:p>
        </w:tc>
        <w:tc>
          <w:tcPr>
            <w:tcW w:type="dxa" w:w="10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Quantity</w:t>
            </w:r>
          </w:p>
        </w:tc>
      </w:tr>
      <w:tr>
        <w:trPr>
          <w:trHeight w:hRule="exact" w:val="254"/>
        </w:trPr>
        <w:tc>
          <w:tcPr>
            <w:tcW w:type="dxa" w:w="1372"/>
            <w:tcBorders>
              <w:start w:sz="6.400000000000091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6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4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2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34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* F = Friable; N = Non-Friable</w:t>
      </w:r>
    </w:p>
    <w:p>
      <w:pPr>
        <w:autoSpaceDN w:val="0"/>
        <w:autoSpaceDE w:val="0"/>
        <w:widowControl/>
        <w:spacing w:line="308" w:lineRule="exact" w:before="246" w:after="0"/>
        <w:ind w:left="728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Condition: G = Good (no visible damage or extremely minor damage or surface marring); D =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Damaged (visible damage evenly distributed over less than 10% of the surface or localized damage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over less than 25% of the surface); SD = Significantly Damaged (visible damage evenly distributed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over 10% or more of the surface or localized damage over 25% or more of the surface)</w:t>
      </w:r>
    </w:p>
    <w:p>
      <w:pPr>
        <w:autoSpaceDN w:val="0"/>
        <w:autoSpaceDE w:val="0"/>
        <w:widowControl/>
        <w:spacing w:line="308" w:lineRule="exact" w:before="246" w:after="0"/>
        <w:ind w:left="728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Quantity: NQ = Not Quantified. These estimates are limited to the quantities of physically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accessible materials observed on site by the inspector; quantities stated are estimated and any final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quantities and takeoffs are the responsibility of the abatement and/or demolition contractor.</w:t>
      </w:r>
    </w:p>
    <w:p>
      <w:pPr>
        <w:autoSpaceDN w:val="0"/>
        <w:autoSpaceDE w:val="0"/>
        <w:widowControl/>
        <w:spacing w:line="244" w:lineRule="exact" w:before="277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Page 2 of 2</w:t>
      </w:r>
    </w:p>
    <w:sectPr w:rsidR="00FC693F" w:rsidRPr="0006063C" w:rsidSect="00034616">
      <w:pgSz w:w="12240" w:h="15840"/>
      <w:pgMar w:top="570" w:right="1414" w:bottom="300" w:left="1432" w:header="720" w:footer="720" w:gutter="0"/>
      <w:cols w:space="720" w:num="1" w:equalWidth="0">
        <w:col w:w="9393" w:space="0"/>
        <w:col w:w="105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