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2A" w:rsidRDefault="00355A2A" w:rsidP="00355A2A">
      <w:pPr>
        <w:pStyle w:val="pb-2"/>
        <w:numPr>
          <w:ilvl w:val="0"/>
          <w:numId w:val="1"/>
        </w:numPr>
      </w:pPr>
      <w:r>
        <w:t>Approximately 200 million people.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It introduces uncertainty in the severity and distribution of food insecurity.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Household Food Insecurity Access Scale (HFIAS), Household Food Security Survey Module (HFSSM), and Food Insecurity Experience Scale (FIES).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The review was conducted in March 2020, and 53 articles were included.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It ranges from 8.7 to 99%, depending on the measurement tool and the population under investigation.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To address the size and diversity of the Indian population and collect better data on food insecurity.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Availability, access, utilization, stability, agency, and sustainability.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It requires adequate resources for acquiring appropriate foods for a nutritious diet.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It exists when all members lack access to enough food for an active, healthy life.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Over 70%, and data is limited due to the focus on urban settings.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Poverty, lack of clean drinking water, and poor sanitation.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Associations have been found between household food insecurity and child stunting, wasting, and being underweight.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200 million people, with poverty, lack of clean water, and poor sanitation as common contributing factors.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Food availability, access, and utilization.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Risks such as climatic fluctuations, conflict, job loss, and epidemic disease can disrupt any one of these factors.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Associations with child stunting, wasting, and being underweight.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When all members have access to enough food for an active, healthy life.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Limited data and research on the subject.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Investigating peer-reviewed literature on food insecurity in India.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Excluded articles either did not collect new data or were previously conducted reviews in the region.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Terms based on the FAO definition, including "food access," "food insecurity," and "household."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Nine databases were searched in March 2020.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It ranged from 8.7% to 99%, depending on the measurement tool and population.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To address the size and diversity of the Indian population and improve data collection on food insecurity.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Availability, access, utilization, stability, agency, and sustainability.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Through the development and implementation of an Indian-specific food security measure.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Poverty, lack of clean drinking water, and poor sanitation.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The focus has been primarily on urban settings.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To identify the breadth of research on food insecurity in India and the instruments used.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53 articles were reviewed.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To collect better data on food insecurity, considering India's widespread malnutrition and high prevalence of food insecurity.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Variations in methods and reliance on cross-sectional studies, leading to uncertainty in data.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When all members have access to enough food for an active, healthy life.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Associations found between household food insecurity and child stunting, wasting, and being underweight highlight its urgency as a public health priority.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51% to 77% in urban settings, and over 70% of the population resides rurally.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lastRenderedPageBreak/>
        <w:t>It ensures that all members have access to enough food for their nutritional well-being.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Limited data due to over 70% of the population residing rurally.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Investigating peer-reviewed literature on food insecurity in India.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Nine databases were searched in March 2020.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Approximately 200 million people.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It introduces uncertainty in the severity and distribution of food insecurity.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Household Food Insecurity Access Scale (HFIAS), Household Food Security Survey Module (HFSSM), and Food Insecurity Experience Scale (FIES).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The review was conducted in March 2020, and 53 articles were included.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It ranges from 8.7 to 99%, depending on the measurement tool and the population under investigation.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To address the size and diversity of the Indian population and collect better data on food insecurity.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Availability, access, utilization, stability, agency, and sustainability.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It requires adequate resources for acquiring appropriate foods for a nutritious diet.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It exists when all members lack access to enough food for an active, healthy life.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Over 70%, and data is limited due to the focus on urban settings.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Poverty, lack of clean drinking water, and poor sanitation.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Associations have been found between household food insecurity and child stunting, wasting, and being underweight.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200 million people, with poverty, lack of clean water, and poor sanitation as common contributing factors.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Food availability, access, and utilization.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Risks such as climatic fluctuations, conflict, job loss, and epidemic disease can disrupt any one of these factors.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Associations with child stunting, wasting, and being underweight.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When all members have access to enough food for an active, healthy life.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Limited data and research on the subject.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Investigating peer-reviewed literature on food insecurity in India.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Excluded articles either did not collect new data or were previously conducted reviews in the region.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Terms based on the FAO definition, including "food access," "food insecurity," and "household."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Nine databases were searched in March 2020.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It ranged from 8.7% to 99%, depending on the measurement tool and population.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To address the size and diversity of the Indian population and improve data collection on food insecurity.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Availability, access, utilization, stability, agency, and sustainability.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Through the development and implementation of an Indian-specific food security measure.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Poverty, lack of clean drinking water, and poor sanitation.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51% to 77% in urban settings, and over 70% of the population resides rurally.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It ensures that all members have access to enough food for their nutritional well-being.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Limited data due to over 70% of the population residing rurally.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To identify the breadth of research on food insecurity in India and the instruments used.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53 articles were reviewed.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lastRenderedPageBreak/>
        <w:t>To collect better data on food insecurity, considering India's widespread malnutrition and high prevalence of food insecurity.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Variations in methods and reliance on cross-sectional studies, leading to uncertainty in data.</w:t>
      </w:r>
    </w:p>
    <w:p w:rsidR="00355A2A" w:rsidRDefault="00355A2A" w:rsidP="00355A2A">
      <w:pPr>
        <w:pStyle w:val="pb-2"/>
        <w:numPr>
          <w:ilvl w:val="0"/>
          <w:numId w:val="1"/>
        </w:numPr>
      </w:pPr>
      <w:r>
        <w:t>When all members have access to enough food for an active, healthy life.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1018 articles were identified, and 395 were duplicates.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616 articles were read for titles and abstracts, 108 were excluded after the full-text review, and 53 were included in the review.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90% of the articles were cross-sectional studies.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Eight articles employed a mixed methods approach.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Studies were excluded if they did not refer to food insecurity in India. Research covered 17 states and five union territories.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Household Food Insecurity Access Scale (HFIAS), Household Food Security Survey Module (HFSSM), and Food Insecurity Experience Scale (FIES).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Prevalence ranged from 8.7% to 99%.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It is designed for cross-cultural use and scored from 0 to 27, with higher scores indicating greater food insecurity.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It categorizes levels as high food security, marginal food insecurity, low food insecurity, and very low food insecurity.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It's a self-reported scale developed by the Food and Agriculture Organization of the United Nations (FAO).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It categorizes households into food security, household food insecurity, individual food insecurity, and child hunger.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It's a state-specific survey with nine questions focusing on infants and children under two and their mothers.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It includes one question about household daily access to food but assumes financial access equates to physical access.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They provide a partial, indirect measure, and the relationship between food and caloric quantity is unpredictable.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They provided partial, usually indirect, measures of food insecurity.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59% of studies using proxy measures provided no indication of food security levels.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Most studies (30) focused on food insecurity at the household level, while 14 specifically focused on young children.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Rates ranged from 8.7% to 80.3%, with most studies reporting rates between 40% and 60%.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Findings suggested problematic practices leading to impaired growth in children and teenagers.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West Bengal had the most studies (9), and research covered 17 states and five union territories.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Four nationwide studies were found, providing good coverage across India, focusing on food security.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Participants ranged from 10 in the smallest study to over 100,000 in population-level studies.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Direct measurement, with 85% of articles aiming to determine the prevalence of food insecurity.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Two studies employed the CNNS.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Eight studies employed a mixed methods approach, providing a combination of qualitative and quantitative data.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77.2% in a population of 250 women.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One study specifically focused on teenagers.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lastRenderedPageBreak/>
        <w:t>Three studies employed the FIES.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It measures food anxiety and includes ten items.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Thirteen studies employed the HFSSM.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It measures whether households have enough food or money to meet basic food needs.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Four studies employed the NSS as a proxy measure, measuring household daily access to food.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It reflects the measurement of food availability or acquisition rather than food insecurity per se.</w:t>
      </w:r>
    </w:p>
    <w:p w:rsidR="00BB04F6" w:rsidRDefault="00BB04F6" w:rsidP="00BB04F6">
      <w:pPr>
        <w:pStyle w:val="pb-2"/>
        <w:numPr>
          <w:ilvl w:val="0"/>
          <w:numId w:val="1"/>
        </w:numPr>
      </w:pPr>
      <w:r>
        <w:t>Seventeen studies employed proxy measures, and 10 provided no indication of food security levels.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Investigating the spatial and temporal quality of food security indicators derived from household surveys.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Three indicators: Food Consumption Score (FCS), Household Dietary Diversity Score (HDDS), and Coping Strategies Index (</w:t>
      </w:r>
      <w:proofErr w:type="spellStart"/>
      <w:r>
        <w:t>rCSI</w:t>
      </w:r>
      <w:proofErr w:type="spellEnd"/>
      <w:r>
        <w:t>).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They are a cost-effective means to capture food access and are central to food security analysis.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Burkina Faso is the case, and the survey has been conducted yearly since 2009.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They are consistent with major regional food shocks and correlate with variations from other data sources.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It recorded a prevalence of undernourishment of 21.3% between 2015 and 2017.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Due to interrelated climatic, socioeconomic, and political reasons.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Childhood wasting (7.6%), childhood stunting (27.3%), and adult obesity (4.5%).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 xml:space="preserve">They use data from households, markets, and </w:t>
      </w:r>
      <w:proofErr w:type="spellStart"/>
      <w:r>
        <w:t>agrometeorology</w:t>
      </w:r>
      <w:proofErr w:type="spellEnd"/>
      <w:r>
        <w:t xml:space="preserve"> to detect and warn about potential crises.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Cost-effectiveness, timely information delivery, nutritional relevance, and temporal/spatial validity.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More cost-effective and less detailed but still valid proxies for food security situations.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It involves undernutrition, micronutrient deficiency, and obesity, contributing to critical rates in West Africa.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Despite biases, they can be used to detect food crises on a sub-national scale and over different years.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 xml:space="preserve">Using three indicators—HDDS, FCS, and </w:t>
      </w:r>
      <w:proofErr w:type="spellStart"/>
      <w:r>
        <w:t>rCSI</w:t>
      </w:r>
      <w:proofErr w:type="spellEnd"/>
      <w:r>
        <w:t>—constructed from household survey data.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 xml:space="preserve">Agricultural dependence, characterized by a semiarid climate in the north and a </w:t>
      </w:r>
      <w:proofErr w:type="spellStart"/>
      <w:r>
        <w:t>subhumid</w:t>
      </w:r>
      <w:proofErr w:type="spellEnd"/>
      <w:r>
        <w:t xml:space="preserve"> climate in the south.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Climate change intensifies severe climatic events, while conflicts decrease food production and distribution networks.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Guaranteed physical and economic access to sufficient, safe, and nutritious food; dimensions include availability, access, stability, and utilization.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To capture the complexity of food insecurity as a result of various interacting factors.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Elevated rates of childhood wasting, childhood stunting, and adult obesity.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The FAO, World Food Program, and World Bank produce indicators from household survey data.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lastRenderedPageBreak/>
        <w:t>Developed due to diversity in food security indicators; involve combining multiple indicators to avoid incomplete pictures.</w:t>
      </w:r>
    </w:p>
    <w:p w:rsidR="005030E5" w:rsidRDefault="005030E5" w:rsidP="005030E5">
      <w:pPr>
        <w:pStyle w:val="pb-2"/>
        <w:numPr>
          <w:ilvl w:val="0"/>
          <w:numId w:val="1"/>
        </w:numPr>
      </w:pPr>
      <w:proofErr w:type="spellStart"/>
      <w:r>
        <w:t>Analyzing</w:t>
      </w:r>
      <w:proofErr w:type="spellEnd"/>
      <w:r>
        <w:t xml:space="preserve"> the spatiotemporal concordances of indicators at the regional scale over the 2009–2017 period.</w:t>
      </w:r>
    </w:p>
    <w:p w:rsidR="005030E5" w:rsidRDefault="005030E5" w:rsidP="005030E5">
      <w:pPr>
        <w:pStyle w:val="pb-2"/>
        <w:numPr>
          <w:ilvl w:val="0"/>
          <w:numId w:val="1"/>
        </w:numPr>
      </w:pPr>
      <w:proofErr w:type="spellStart"/>
      <w:r>
        <w:t>Soudano-Sahelian</w:t>
      </w:r>
      <w:proofErr w:type="spellEnd"/>
      <w:r>
        <w:t xml:space="preserve"> country with a long dry season; climate influences </w:t>
      </w:r>
      <w:proofErr w:type="spellStart"/>
      <w:r>
        <w:t>rainfed</w:t>
      </w:r>
      <w:proofErr w:type="spellEnd"/>
      <w:r>
        <w:t xml:space="preserve"> agriculture and food production.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They are cost-effective, providing valid proxies for food consumption and access.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They can be employed to detect food crises on a sub-national scale over different years.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They gauge the capacity of household indicators to measure food security trends over time.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They provide cost-effective indicators at the household level, capturing the food access dimension.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Temporal: Over the 2009–2017 period; spatial: At the regional level in Burkina Faso.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It raises new research questions regarding the spatiotemporal quality of household survey indicators.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It's one of the most affected countries, reflecting the worsening food situation in West Africa.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Indicators are aggregated to generate maps, informing the targets of food security interventions.</w:t>
      </w:r>
    </w:p>
    <w:p w:rsidR="005030E5" w:rsidRDefault="005030E5" w:rsidP="005030E5">
      <w:pPr>
        <w:pStyle w:val="pb-2"/>
        <w:numPr>
          <w:ilvl w:val="0"/>
          <w:numId w:val="1"/>
        </w:numPr>
      </w:pPr>
      <w:r>
        <w:t>Dissatisfaction persists, and monitoring systems utilize collaborations, household and market data, and Earth observation data.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It provides crop forecasts and agricultural production estimates, aiding decision-makers and food organizations.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Annually since 1982, covering the growing period in August and harvest period in October.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To calculate food security indicators after harvest, aiding national and regional food security systems.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Nationally representative, covering the 2009 to 2017 period with data from 41,751 farm households.</w:t>
      </w:r>
    </w:p>
    <w:p w:rsidR="00DE5F68" w:rsidRDefault="00DE5F68" w:rsidP="00DE5F68">
      <w:pPr>
        <w:pStyle w:val="pb-2"/>
        <w:numPr>
          <w:ilvl w:val="0"/>
          <w:numId w:val="1"/>
        </w:numPr>
      </w:pPr>
      <w:proofErr w:type="spellStart"/>
      <w:r>
        <w:t>Analyzed</w:t>
      </w:r>
      <w:proofErr w:type="spellEnd"/>
      <w:r>
        <w:t xml:space="preserve"> biases include non-observance biases (coverage, sampling, non-consent, non-response) and measurement bias due to errors during collection.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It provides the only available nationally representative data exploring spatial and temporal dimensions of food security.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Food Consumption Score (FCS), Household Dietary Diversity Score (HDDS), and reduced Coping Strategies Index (</w:t>
      </w:r>
      <w:proofErr w:type="spellStart"/>
      <w:r>
        <w:t>rCSI</w:t>
      </w:r>
      <w:proofErr w:type="spellEnd"/>
      <w:r>
        <w:t>); validated proxies for food access.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It estimates nutrient intake over 7 days, with thresholds: acceptable (&gt; 42), limit (28–42), and low (&lt; 28).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It captures the number of food groups consumed in the last 24 hours, based on 12 food groups according to FAO guidelines.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Vegetation index (MODIS satellite images), rainfall data (CHIRPS), and food prices (monthly maize prices from SONAGESS).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Aggregated monthly and by province, transformed into normalized deviations relative to all provinces and months presented.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To examine consistency between different data sources and validate food security indicators.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 xml:space="preserve">An average of 4,640 farm households per year, </w:t>
      </w:r>
      <w:proofErr w:type="spellStart"/>
      <w:r>
        <w:t>totaling</w:t>
      </w:r>
      <w:proofErr w:type="spellEnd"/>
      <w:r>
        <w:t xml:space="preserve"> 41,751 over the 2009 to 2017 period.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lastRenderedPageBreak/>
        <w:t>Households engaged in temporary crop cultivation, fruit growing, or animal husbandry.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Initially increasing until 2013, followed by a sharp drop until 2017, indicating a decline in food security.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Information is available from 2014 onwards, and a 4-year period is considered too short for meaningful temporal analysis.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Repeated floods in 2009 and 2010, severe drought in 2011 leading to famine, and a deteriorating security situation since 2014.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Both indicators show variations corresponding to floods, drought, and conflicts, reflecting changes in food security levels.</w:t>
      </w:r>
    </w:p>
    <w:p w:rsidR="00DE5F68" w:rsidRDefault="00DE5F68" w:rsidP="00DE5F68">
      <w:pPr>
        <w:pStyle w:val="pb-2"/>
        <w:numPr>
          <w:ilvl w:val="0"/>
          <w:numId w:val="1"/>
        </w:numPr>
      </w:pPr>
      <w:proofErr w:type="spellStart"/>
      <w:r>
        <w:t>Favorable</w:t>
      </w:r>
      <w:proofErr w:type="spellEnd"/>
      <w:r>
        <w:t xml:space="preserve"> climate led to increases until 2011, followed by decreases due to rain deficit years and worsening security situations.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By correlating well with reported events, such as floods, drought, and conflicts, demonstrating sensitivity to changes in food security.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Violent conflicts in these areas severely impact rural households' ability to feed themselves.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Biases include non-consent, non-response, and measurement errors, affecting the reliability of survey data.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Both indicators show an initial increase until 2013, followed by a sharp decline until 2017, indicating a significant decrease in food security.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To address the complexity of food security and avoid incomplete pictures by utilizing diverse indicators.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It provides essential data for decision-makers, offering crop forecasts, production estimates, and household food consumption information.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 xml:space="preserve">Normalization allows for comparison by </w:t>
      </w:r>
      <w:proofErr w:type="spellStart"/>
      <w:r>
        <w:t>centering</w:t>
      </w:r>
      <w:proofErr w:type="spellEnd"/>
      <w:r>
        <w:t xml:space="preserve"> and reducing data relative to all provinces and months, facilitating meaningful insights.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It is the only available nationally representative data exploring spatial and temporal aspects, making it crucial for analysis.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Increasing concerns about privacy since the early 2000s have led to a decline in data quality due to non-observance biases.</w:t>
      </w:r>
    </w:p>
    <w:p w:rsidR="00DE5F68" w:rsidRDefault="00DE5F68" w:rsidP="00DE5F68">
      <w:pPr>
        <w:pStyle w:val="pb-2"/>
        <w:numPr>
          <w:ilvl w:val="0"/>
          <w:numId w:val="1"/>
        </w:numPr>
      </w:pPr>
      <w:r>
        <w:t>They play a key role in food security warning systems, aiding in decision-making and providing crucial information.</w:t>
      </w:r>
    </w:p>
    <w:p w:rsidR="001C183F" w:rsidRDefault="001C183F" w:rsidP="001C183F">
      <w:pPr>
        <w:pStyle w:val="pb-2"/>
        <w:numPr>
          <w:ilvl w:val="0"/>
          <w:numId w:val="1"/>
        </w:numPr>
      </w:pPr>
      <w:r>
        <w:t>Domestic demand for edible oils is 24.61 million tonnes, while production is 11.16 million tonnes in 2020-21.</w:t>
      </w:r>
    </w:p>
    <w:p w:rsidR="001C183F" w:rsidRDefault="001C183F" w:rsidP="001C183F">
      <w:pPr>
        <w:pStyle w:val="pb-2"/>
        <w:numPr>
          <w:ilvl w:val="0"/>
          <w:numId w:val="1"/>
        </w:numPr>
      </w:pPr>
      <w:r>
        <w:t>Lower profitability against competing crops and relative factors led to a decline; the government adopted a multi-pronged strategy.</w:t>
      </w:r>
    </w:p>
    <w:p w:rsidR="001C183F" w:rsidRDefault="001C183F" w:rsidP="001C183F">
      <w:pPr>
        <w:pStyle w:val="pb-2"/>
        <w:numPr>
          <w:ilvl w:val="0"/>
          <w:numId w:val="1"/>
        </w:numPr>
      </w:pPr>
      <w:r>
        <w:t xml:space="preserve">Food security is when all people have physical and economic access to sufficient food; global events disrupted access for the poor, especially daily-wage </w:t>
      </w:r>
      <w:proofErr w:type="spellStart"/>
      <w:r>
        <w:t>laborers</w:t>
      </w:r>
      <w:proofErr w:type="spellEnd"/>
      <w:r>
        <w:t>.</w:t>
      </w:r>
    </w:p>
    <w:p w:rsidR="001C183F" w:rsidRDefault="001C183F" w:rsidP="001C183F">
      <w:pPr>
        <w:pStyle w:val="pb-2"/>
        <w:numPr>
          <w:ilvl w:val="0"/>
          <w:numId w:val="1"/>
        </w:numPr>
      </w:pPr>
      <w:r>
        <w:t>Farmers struggled to access markets, leading to food waste, and hoarding by the middle class disrupted the value chain.</w:t>
      </w:r>
    </w:p>
    <w:p w:rsidR="001C183F" w:rsidRDefault="001C183F" w:rsidP="001C183F">
      <w:pPr>
        <w:pStyle w:val="pb-2"/>
        <w:numPr>
          <w:ilvl w:val="0"/>
          <w:numId w:val="1"/>
        </w:numPr>
      </w:pPr>
      <w:r>
        <w:t>Food inflation impacts economic access, and low-income earners are most affected, spending a high proportion of their income on food.</w:t>
      </w:r>
    </w:p>
    <w:p w:rsidR="001C183F" w:rsidRDefault="001C183F" w:rsidP="001C183F">
      <w:pPr>
        <w:pStyle w:val="pb-2"/>
        <w:numPr>
          <w:ilvl w:val="0"/>
          <w:numId w:val="1"/>
        </w:numPr>
      </w:pPr>
      <w:r>
        <w:t>A 1% increase in food inflation leads to an increase in infant and child mortalities; impacts are lesser in countries with higher agriculture contributions.</w:t>
      </w:r>
    </w:p>
    <w:p w:rsidR="001C183F" w:rsidRDefault="001C183F" w:rsidP="001C183F">
      <w:pPr>
        <w:pStyle w:val="pb-2"/>
        <w:numPr>
          <w:ilvl w:val="0"/>
          <w:numId w:val="1"/>
        </w:numPr>
      </w:pPr>
      <w:r>
        <w:t>The government has allocated about 5.2% of its total budget for 2022-23 to the food subsidy program.</w:t>
      </w:r>
    </w:p>
    <w:p w:rsidR="001C183F" w:rsidRDefault="001C183F" w:rsidP="001C183F">
      <w:pPr>
        <w:pStyle w:val="pb-2"/>
        <w:numPr>
          <w:ilvl w:val="0"/>
          <w:numId w:val="1"/>
        </w:numPr>
      </w:pPr>
      <w:r>
        <w:t>FCI is responsible for the purchase, storage, movement, distribution, and sale of food grains and other foodstuffs.</w:t>
      </w:r>
    </w:p>
    <w:p w:rsidR="001C183F" w:rsidRDefault="001C183F" w:rsidP="001C183F">
      <w:pPr>
        <w:pStyle w:val="pb-2"/>
        <w:numPr>
          <w:ilvl w:val="0"/>
          <w:numId w:val="1"/>
        </w:numPr>
      </w:pPr>
      <w:r>
        <w:lastRenderedPageBreak/>
        <w:t>NFSA marks a shift from a welfare to a rights-based approach, covering 75% of the rural population and 50% of the urban population.</w:t>
      </w:r>
    </w:p>
    <w:p w:rsidR="001C183F" w:rsidRDefault="001C183F" w:rsidP="001C183F">
      <w:pPr>
        <w:pStyle w:val="pb-2"/>
        <w:numPr>
          <w:ilvl w:val="0"/>
          <w:numId w:val="1"/>
        </w:numPr>
      </w:pPr>
      <w:proofErr w:type="spellStart"/>
      <w:r>
        <w:t>Antyodaya</w:t>
      </w:r>
      <w:proofErr w:type="spellEnd"/>
      <w:r>
        <w:t xml:space="preserve"> Anna </w:t>
      </w:r>
      <w:proofErr w:type="spellStart"/>
      <w:r>
        <w:t>Yojana</w:t>
      </w:r>
      <w:proofErr w:type="spellEnd"/>
      <w:r>
        <w:t xml:space="preserve"> and Priority Households receive </w:t>
      </w:r>
      <w:proofErr w:type="spellStart"/>
      <w:r>
        <w:t>foodgrains</w:t>
      </w:r>
      <w:proofErr w:type="spellEnd"/>
      <w:r>
        <w:t>; special provisions cater to children aged 6 months to 14 years.</w:t>
      </w:r>
    </w:p>
    <w:p w:rsidR="001C183F" w:rsidRDefault="001C183F" w:rsidP="001C183F">
      <w:pPr>
        <w:pStyle w:val="pb-2"/>
        <w:numPr>
          <w:ilvl w:val="0"/>
          <w:numId w:val="1"/>
        </w:numPr>
      </w:pPr>
      <w:r>
        <w:t>PMGKAY provides 5 kg of free food grains per month, while PM POSHAN Scheme focuses on providing hot cooked meals in schools.</w:t>
      </w:r>
    </w:p>
    <w:p w:rsidR="001C183F" w:rsidRDefault="001C183F" w:rsidP="001C183F">
      <w:pPr>
        <w:pStyle w:val="pb-2"/>
        <w:numPr>
          <w:ilvl w:val="0"/>
          <w:numId w:val="1"/>
        </w:numPr>
      </w:pPr>
      <w:r>
        <w:t>Reducing food waste is vital; approximately 40% of the food produced in India is wasted annually.</w:t>
      </w:r>
    </w:p>
    <w:p w:rsidR="001C183F" w:rsidRDefault="001C183F" w:rsidP="001C183F">
      <w:pPr>
        <w:pStyle w:val="pb-2"/>
        <w:numPr>
          <w:ilvl w:val="0"/>
          <w:numId w:val="1"/>
        </w:numPr>
      </w:pPr>
      <w:r>
        <w:t>Elevated levels of food wastage contribute to environmental issues, challenging sustainable consumption and production.</w:t>
      </w:r>
    </w:p>
    <w:p w:rsidR="001C183F" w:rsidRDefault="001C183F" w:rsidP="001C183F">
      <w:pPr>
        <w:pStyle w:val="pb-2"/>
        <w:numPr>
          <w:ilvl w:val="0"/>
          <w:numId w:val="1"/>
        </w:numPr>
      </w:pPr>
      <w:r>
        <w:t>An estimated 17% of all food available at the consumer level, with households contributing 11%, food services 5%, and retail outlets 2%.</w:t>
      </w:r>
    </w:p>
    <w:p w:rsidR="001C183F" w:rsidRDefault="001C183F" w:rsidP="001C183F">
      <w:pPr>
        <w:pStyle w:val="pb-2"/>
        <w:numPr>
          <w:ilvl w:val="0"/>
          <w:numId w:val="1"/>
        </w:numPr>
      </w:pPr>
      <w:r>
        <w:t>West Asian and sub-Saharan African countries have higher per capita food wastage; excess waste leads to potent greenhouse gases in landfills.</w:t>
      </w:r>
    </w:p>
    <w:p w:rsidR="001C183F" w:rsidRDefault="001C183F" w:rsidP="001C183F">
      <w:pPr>
        <w:pStyle w:val="pb-2"/>
        <w:numPr>
          <w:ilvl w:val="0"/>
          <w:numId w:val="1"/>
        </w:numPr>
      </w:pPr>
      <w:r>
        <w:t>Adopting a "Waste not philosophy" is crucial to provide access to food for the have-nots and work toward a zero-waste goal.</w:t>
      </w:r>
    </w:p>
    <w:p w:rsidR="00F503DB" w:rsidRDefault="00F503DB" w:rsidP="00F503DB">
      <w:pPr>
        <w:pStyle w:val="pb-2"/>
        <w:numPr>
          <w:ilvl w:val="0"/>
          <w:numId w:val="1"/>
        </w:numPr>
      </w:pPr>
      <w:r>
        <w:t>Wasting indicates recent and severe weight loss; causes include poor access to healthcare, inadequate feeding practices, poor food security, and lack of a sanitary environment.</w:t>
      </w:r>
    </w:p>
    <w:p w:rsidR="00F503DB" w:rsidRDefault="00F503DB" w:rsidP="00F503DB">
      <w:pPr>
        <w:pStyle w:val="pb-2"/>
        <w:numPr>
          <w:ilvl w:val="0"/>
          <w:numId w:val="1"/>
        </w:numPr>
      </w:pPr>
      <w:r>
        <w:t>Wasting increases the risk of death; the "vicious cycle" occurs as poor diet increases infection risk, and infection worsens wasting.</w:t>
      </w:r>
    </w:p>
    <w:p w:rsidR="00F503DB" w:rsidRDefault="00F503DB" w:rsidP="00F503DB">
      <w:pPr>
        <w:pStyle w:val="pb-2"/>
        <w:numPr>
          <w:ilvl w:val="0"/>
          <w:numId w:val="1"/>
        </w:numPr>
      </w:pPr>
      <w:r>
        <w:t>The target is to reduce childhood wasting to less than 5%; India had 19% wasted children in 2019-20.</w:t>
      </w:r>
    </w:p>
    <w:p w:rsidR="00F503DB" w:rsidRDefault="00F503DB" w:rsidP="00F503DB">
      <w:pPr>
        <w:pStyle w:val="pb-2"/>
        <w:numPr>
          <w:ilvl w:val="0"/>
          <w:numId w:val="1"/>
        </w:numPr>
      </w:pPr>
      <w:r>
        <w:t>Maharashtra has the highest (25.6%), and 9 states, including Nagaland, witnessed an increase in wasted children from 2015-16 to 2019-20.</w:t>
      </w:r>
    </w:p>
    <w:p w:rsidR="00F503DB" w:rsidRDefault="00F503DB" w:rsidP="00F503DB">
      <w:pPr>
        <w:pStyle w:val="pb-2"/>
        <w:numPr>
          <w:ilvl w:val="0"/>
          <w:numId w:val="1"/>
        </w:numPr>
      </w:pPr>
      <w:r>
        <w:t>Severe wasting is when weight for height is below 3 standard deviations; it increased from 7.5% to 7.7% from 2015-16 to 2019-20.</w:t>
      </w:r>
    </w:p>
    <w:p w:rsidR="00F503DB" w:rsidRDefault="00F503DB" w:rsidP="00F503DB">
      <w:pPr>
        <w:pStyle w:val="pb-2"/>
        <w:numPr>
          <w:ilvl w:val="0"/>
          <w:numId w:val="1"/>
        </w:numPr>
      </w:pPr>
      <w:r>
        <w:t xml:space="preserve">Lakshadweep, Jammu and Kashmir, and </w:t>
      </w:r>
      <w:proofErr w:type="spellStart"/>
      <w:r>
        <w:t>Ladakh</w:t>
      </w:r>
      <w:proofErr w:type="spellEnd"/>
      <w:r>
        <w:t xml:space="preserve"> saw the highest increase; it's a concern as severe wasting indicates extremely low weight relative to height.</w:t>
      </w:r>
    </w:p>
    <w:p w:rsidR="00F503DB" w:rsidRDefault="00F503DB" w:rsidP="00F503DB">
      <w:pPr>
        <w:pStyle w:val="pb-2"/>
        <w:numPr>
          <w:ilvl w:val="0"/>
          <w:numId w:val="1"/>
        </w:numPr>
      </w:pPr>
      <w:r>
        <w:t>Underweight reflects inadequate food availability; it reduced from 35.8% to 32.1% at the all-India level.</w:t>
      </w:r>
    </w:p>
    <w:p w:rsidR="00F503DB" w:rsidRDefault="00F503DB" w:rsidP="00F503DB">
      <w:pPr>
        <w:pStyle w:val="pb-2"/>
        <w:numPr>
          <w:ilvl w:val="0"/>
          <w:numId w:val="1"/>
        </w:numPr>
      </w:pPr>
      <w:r>
        <w:t>Bihar, Gujarat, Jharkhand, Dadra &amp; Nagar Haveli, and Daman &amp; Diu have the highest prevalence; it has direct consequences for mortality, mobility, productivity, and economic growth.</w:t>
      </w:r>
    </w:p>
    <w:p w:rsidR="00F503DB" w:rsidRDefault="00F503DB" w:rsidP="00F503DB">
      <w:pPr>
        <w:pStyle w:val="pb-2"/>
        <w:numPr>
          <w:ilvl w:val="0"/>
          <w:numId w:val="1"/>
        </w:numPr>
      </w:pPr>
      <w:r>
        <w:t>Undernutrition is associated with low socioeconomic status; chronic undernutrition in mothers results in preterm and low birth weight babies.</w:t>
      </w:r>
    </w:p>
    <w:p w:rsidR="00F503DB" w:rsidRDefault="00F503DB" w:rsidP="00F503DB">
      <w:pPr>
        <w:pStyle w:val="pb-2"/>
        <w:numPr>
          <w:ilvl w:val="0"/>
          <w:numId w:val="1"/>
        </w:numPr>
      </w:pPr>
      <w:r>
        <w:t>Causes include iron deficiency and vitamin B-12 deficiency; the problem is more severe in rural India compared to urban areas.</w:t>
      </w:r>
    </w:p>
    <w:p w:rsidR="00F503DB" w:rsidRDefault="00F503DB" w:rsidP="00F503DB">
      <w:pPr>
        <w:pStyle w:val="pb-2"/>
        <w:numPr>
          <w:ilvl w:val="0"/>
          <w:numId w:val="1"/>
        </w:numPr>
      </w:pPr>
      <w:r>
        <w:t>Anaemia is more prevalent in women due to menstrual iron losses and high iron demands during pregnancies; it impacts maternal and child health.</w:t>
      </w:r>
    </w:p>
    <w:p w:rsidR="00F503DB" w:rsidRDefault="00F503DB" w:rsidP="00F503DB">
      <w:pPr>
        <w:pStyle w:val="pb-2"/>
        <w:numPr>
          <w:ilvl w:val="0"/>
          <w:numId w:val="1"/>
        </w:numPr>
      </w:pPr>
      <w:r>
        <w:t>Gujarat, Madhya Pradesh, Rajasthan, Punjab, and Haryana have more than 70% anaemic children; it poses severe health risks.</w:t>
      </w:r>
    </w:p>
    <w:p w:rsidR="00F503DB" w:rsidRDefault="00F503DB" w:rsidP="00F503DB">
      <w:pPr>
        <w:pStyle w:val="pb-2"/>
        <w:numPr>
          <w:ilvl w:val="0"/>
          <w:numId w:val="1"/>
        </w:numPr>
      </w:pPr>
      <w:r>
        <w:t xml:space="preserve">Delhi, Jammu and Kashmir, </w:t>
      </w:r>
      <w:proofErr w:type="spellStart"/>
      <w:r>
        <w:t>Ladakh</w:t>
      </w:r>
      <w:proofErr w:type="spellEnd"/>
      <w:r>
        <w:t>, and Puducherry have seen an increase in the percentage of anaemic children.</w:t>
      </w:r>
    </w:p>
    <w:p w:rsidR="00F503DB" w:rsidRDefault="00F503DB" w:rsidP="00F503DB">
      <w:pPr>
        <w:pStyle w:val="pb-2"/>
        <w:numPr>
          <w:ilvl w:val="0"/>
          <w:numId w:val="1"/>
        </w:numPr>
      </w:pPr>
      <w:r>
        <w:t xml:space="preserve">Shortage of fresh vegetables and fruits contribute to high anaemia prevalence; it's especially severe with 92.5% children being anaemic in </w:t>
      </w:r>
      <w:proofErr w:type="spellStart"/>
      <w:r>
        <w:t>Ladakh</w:t>
      </w:r>
      <w:proofErr w:type="spellEnd"/>
      <w:r>
        <w:t>.</w:t>
      </w:r>
    </w:p>
    <w:p w:rsidR="00F503DB" w:rsidRDefault="00F503DB" w:rsidP="00F503DB">
      <w:pPr>
        <w:pStyle w:val="pb-2"/>
        <w:numPr>
          <w:ilvl w:val="0"/>
          <w:numId w:val="1"/>
        </w:numPr>
      </w:pPr>
      <w:r>
        <w:t>Nine states, including West Bengal, Tripura, and Gujarat, had more than 60% anaemic women; most states saw an increase in the percentage of anaemic women.</w:t>
      </w:r>
    </w:p>
    <w:p w:rsidR="00F503DB" w:rsidRDefault="00F503DB" w:rsidP="00F503DB">
      <w:pPr>
        <w:pStyle w:val="pb-2"/>
        <w:numPr>
          <w:ilvl w:val="0"/>
          <w:numId w:val="1"/>
        </w:numPr>
      </w:pPr>
      <w:r>
        <w:t>Anaemia is less severe in men; West Bengal, Tripura, and Assam have more than 30% anaemic men.</w:t>
      </w:r>
    </w:p>
    <w:p w:rsidR="00F503DB" w:rsidRDefault="00F503DB" w:rsidP="00F503DB">
      <w:pPr>
        <w:pStyle w:val="pb-2"/>
        <w:numPr>
          <w:ilvl w:val="0"/>
          <w:numId w:val="1"/>
        </w:numPr>
      </w:pPr>
      <w:r>
        <w:lastRenderedPageBreak/>
        <w:t xml:space="preserve">Both men (75.6%) and women (92.8%) in </w:t>
      </w:r>
      <w:proofErr w:type="spellStart"/>
      <w:r>
        <w:t>Ladakh</w:t>
      </w:r>
      <w:proofErr w:type="spellEnd"/>
      <w:r>
        <w:t xml:space="preserve"> have a high prevalence of anaemia; factors like dietary habits and regional conditions may contribute.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 xml:space="preserve">Obesity is on the rise in most states and union territories, particularly </w:t>
      </w:r>
      <w:r>
        <w:rPr>
          <w:rStyle w:val="issue-underline"/>
        </w:rPr>
        <w:t>concerning in children.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>Obesity increased from 2.1% (NFHS-4) to 3.4% (NFHS-5); only Goa and Tamil Nadu reported a decrease.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>Obesity increased by 4% in both men and women, reaching 22.9% for men and 24% for women in NFHS-5.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 xml:space="preserve">WHR, combined with BMI, </w:t>
      </w:r>
      <w:r>
        <w:rPr>
          <w:rStyle w:val="issue-underline"/>
        </w:rPr>
        <w:t>predicts the risk of diabetes,</w:t>
      </w:r>
      <w:r>
        <w:t xml:space="preserve"> stroke, and heart attacks; more men (48%) than women (40%) have a higher WHR.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>Jammu and Kashmir (88%) reported the highest, while Madhya Pradesh reported the lowest (40%).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 xml:space="preserve">Stability refers </w:t>
      </w:r>
      <w:r>
        <w:rPr>
          <w:rStyle w:val="issue-underline"/>
        </w:rPr>
        <w:t>to the constant food supply at the household level; it minimizes risks from external factors like natural</w:t>
      </w:r>
      <w:r>
        <w:t xml:space="preserve"> disasters and price volatility.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 xml:space="preserve">Both events disrupted supply chains, leading to availability, pricing, and quality issues, </w:t>
      </w:r>
      <w:r>
        <w:rPr>
          <w:rStyle w:val="issue-underline"/>
        </w:rPr>
        <w:t>impacting the stability of food security.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 xml:space="preserve">Lockdown measures led to declines in demand, causing food dumping, quality issues, and </w:t>
      </w:r>
      <w:r>
        <w:rPr>
          <w:rStyle w:val="issue-underline"/>
        </w:rPr>
        <w:t>challenges in getting</w:t>
      </w:r>
      <w:r>
        <w:t xml:space="preserve"> food to markets.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 xml:space="preserve">COVID-19 worsened nutritional insecurities, disrupting government interventions like </w:t>
      </w:r>
      <w:proofErr w:type="spellStart"/>
      <w:r>
        <w:t>Anganwadi</w:t>
      </w:r>
      <w:proofErr w:type="spellEnd"/>
      <w:r>
        <w:t xml:space="preserve"> services, nutrition rehabilitation, and school programs.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 xml:space="preserve">Poor households shifted spending from fresh fruits to less nutrient-rich staple foods, and </w:t>
      </w:r>
      <w:r>
        <w:rPr>
          <w:rStyle w:val="issue-underline"/>
        </w:rPr>
        <w:t>there was a shift towards consumption of</w:t>
      </w:r>
      <w:r>
        <w:t xml:space="preserve"> more processed foods.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 xml:space="preserve">The conflict disrupted food and fertilizer </w:t>
      </w:r>
      <w:r>
        <w:rPr>
          <w:rStyle w:val="issue-underline"/>
        </w:rPr>
        <w:t>supply;</w:t>
      </w:r>
      <w:r>
        <w:t xml:space="preserve"> Russia and Ukraine produce nearly 30% of the world's traded wheat.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>The FAO predicts an 8% to 22% increase beyond current high baseline levels if the conflict continues.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>NFHS-5 shows an increase in obesity among children, with all states reporting a rise except Goa and Tamil Nadu.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>Obesity has increased by 4% in both men and women, reaching 22.9% for men and 24% for women in NFHS-5.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 xml:space="preserve">WHR, combined with BMI, predicts the risk of diabetes, stroke, and heart attacks by </w:t>
      </w:r>
      <w:r>
        <w:rPr>
          <w:rStyle w:val="issue-underline"/>
        </w:rPr>
        <w:t>identifying the percentage of body fat.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>48% of men and 40% of women have substantially increased WHR, with regional variations.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>Jammu and Kashmir reported the highest proportion at 88%.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>Stability ensures that the food supply at the household level remains constant, minimizing risks from external factors.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 xml:space="preserve">Lockdowns led to disruptions, affecting food availability, pricing, and quality, with reports of </w:t>
      </w:r>
      <w:r>
        <w:rPr>
          <w:rStyle w:val="issue-underline"/>
        </w:rPr>
        <w:t>food being dumped.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 xml:space="preserve">Services at </w:t>
      </w:r>
      <w:proofErr w:type="spellStart"/>
      <w:r>
        <w:t>Anganwadi</w:t>
      </w:r>
      <w:proofErr w:type="spellEnd"/>
      <w:r>
        <w:t xml:space="preserve"> </w:t>
      </w:r>
      <w:proofErr w:type="spellStart"/>
      <w:r>
        <w:t>centers</w:t>
      </w:r>
      <w:proofErr w:type="spellEnd"/>
      <w:r>
        <w:t xml:space="preserve">, nutrition rehabilitation </w:t>
      </w:r>
      <w:proofErr w:type="spellStart"/>
      <w:r>
        <w:t>centers</w:t>
      </w:r>
      <w:proofErr w:type="spellEnd"/>
      <w:r>
        <w:t>, and school nutrition programs were disrupted.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 xml:space="preserve">Poor households shifted spending from fresh fruits to less nutrient-rich staple foods, </w:t>
      </w:r>
      <w:r>
        <w:rPr>
          <w:rStyle w:val="issue-underline"/>
        </w:rPr>
        <w:t>and there was a rise in processed food consumption.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 xml:space="preserve">Millets are </w:t>
      </w:r>
      <w:r>
        <w:rPr>
          <w:rStyle w:val="issue-underline"/>
        </w:rPr>
        <w:t>low water-intensive</w:t>
      </w:r>
      <w:r>
        <w:t xml:space="preserve"> crops </w:t>
      </w:r>
      <w:r>
        <w:rPr>
          <w:rStyle w:val="issue-underline"/>
        </w:rPr>
        <w:t>that can grow</w:t>
      </w:r>
      <w:r>
        <w:t xml:space="preserve"> on shallow, low-fertile soils, providing a risk mitigation strategy against droughts.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rPr>
          <w:rStyle w:val="issue-underline"/>
        </w:rPr>
        <w:t>Millets</w:t>
      </w:r>
      <w:r>
        <w:t xml:space="preserve"> have a low overall water requirement, absorb more carbon dioxide, and are environmentally friendly, aiding in climate change mitigation.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 xml:space="preserve">Per capita consumption of millets </w:t>
      </w:r>
      <w:r>
        <w:rPr>
          <w:rStyle w:val="issue-underline"/>
        </w:rPr>
        <w:t>has drastically fallen</w:t>
      </w:r>
      <w:r>
        <w:t xml:space="preserve"> from 32.9 kg to 4.2 kg.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rPr>
          <w:rStyle w:val="issue-underline"/>
        </w:rPr>
        <w:t>Millets, with</w:t>
      </w:r>
      <w:r>
        <w:t xml:space="preserve"> slow-digestible starch (SDS), can help address diseases like obesity, diabetes, and cardiovascular diseases.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lastRenderedPageBreak/>
        <w:t xml:space="preserve">Rajasthan has the </w:t>
      </w:r>
      <w:r>
        <w:rPr>
          <w:rStyle w:val="issue-underline"/>
        </w:rPr>
        <w:t>maximum</w:t>
      </w:r>
      <w:r>
        <w:t xml:space="preserve"> area, while Telangana has the </w:t>
      </w:r>
      <w:r>
        <w:rPr>
          <w:rStyle w:val="issue-underline"/>
        </w:rPr>
        <w:t>highest yield for millet cultivation.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rPr>
          <w:rStyle w:val="issue-underline"/>
        </w:rPr>
        <w:t>The area under millet cultivation has been decreasing</w:t>
      </w:r>
      <w:r>
        <w:t xml:space="preserve"> due to a shift towards crops like wheat and a lack of focus on millets.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>Close to 70% of millet production is concentrated in Rajasthan, Karnataka, Maharashtra, Madhya Pradesh, Uttar Pradesh, and Tamil Nadu.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>Strategies should manage both supply and demand issues through awareness campaigns, value chain improvement, and inclusion in government schemes.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>Urban consumers should be a primary target, and social media can play a pivotal role in creating awareness and promoting millet-based products.</w:t>
      </w:r>
    </w:p>
    <w:p w:rsidR="000B0C9E" w:rsidRDefault="000B0C9E" w:rsidP="000B0C9E">
      <w:pPr>
        <w:pStyle w:val="pb-2"/>
        <w:numPr>
          <w:ilvl w:val="0"/>
          <w:numId w:val="1"/>
        </w:numPr>
      </w:pPr>
      <w:r>
        <w:t>Measures include enhancing millet production, varietal improvement, incentivizing millet growers, and organizing them into Farmer Producer Organizations (FPOs).</w:t>
      </w:r>
    </w:p>
    <w:p w:rsidR="00355A2A" w:rsidRPr="00355A2A" w:rsidRDefault="000B0C9E" w:rsidP="00DC212C">
      <w:pPr>
        <w:pStyle w:val="pb-2"/>
        <w:numPr>
          <w:ilvl w:val="0"/>
          <w:numId w:val="1"/>
        </w:numPr>
      </w:pPr>
      <w:r>
        <w:t xml:space="preserve">Fiscal incentives, including tax concessions, are recommended to support millet-related activities </w:t>
      </w:r>
      <w:r>
        <w:rPr>
          <w:rStyle w:val="issue-underline"/>
        </w:rPr>
        <w:t>along the value</w:t>
      </w:r>
      <w:r>
        <w:t xml:space="preserve"> </w:t>
      </w:r>
      <w:r>
        <w:rPr>
          <w:rStyle w:val="issue-underline"/>
        </w:rPr>
        <w:t>chains.</w:t>
      </w:r>
      <w:bookmarkStart w:id="0" w:name="_GoBack"/>
      <w:bookmarkEnd w:id="0"/>
      <w:r w:rsidR="00DC212C" w:rsidRPr="00355A2A">
        <w:t xml:space="preserve"> </w:t>
      </w:r>
    </w:p>
    <w:sectPr w:rsidR="00355A2A" w:rsidRPr="00355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155DB6"/>
    <w:multiLevelType w:val="hybridMultilevel"/>
    <w:tmpl w:val="87846A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920"/>
    <w:rsid w:val="000917BA"/>
    <w:rsid w:val="000B0C9E"/>
    <w:rsid w:val="000E283D"/>
    <w:rsid w:val="00103DF2"/>
    <w:rsid w:val="001B64C1"/>
    <w:rsid w:val="001C183F"/>
    <w:rsid w:val="00213008"/>
    <w:rsid w:val="00355A2A"/>
    <w:rsid w:val="003809A1"/>
    <w:rsid w:val="005030E5"/>
    <w:rsid w:val="005537E2"/>
    <w:rsid w:val="007527F5"/>
    <w:rsid w:val="00873C52"/>
    <w:rsid w:val="00B54D0B"/>
    <w:rsid w:val="00BB04F6"/>
    <w:rsid w:val="00C72DFE"/>
    <w:rsid w:val="00D1719A"/>
    <w:rsid w:val="00D71D1D"/>
    <w:rsid w:val="00DC1920"/>
    <w:rsid w:val="00DC212C"/>
    <w:rsid w:val="00DE5F68"/>
    <w:rsid w:val="00F1049E"/>
    <w:rsid w:val="00F503DB"/>
    <w:rsid w:val="00FC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8A2B0"/>
  <w15:chartTrackingRefBased/>
  <w15:docId w15:val="{70503A35-94FA-4508-B2D2-8B1B8F03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5A2A"/>
    <w:pPr>
      <w:ind w:left="720"/>
      <w:contextualSpacing/>
    </w:pPr>
  </w:style>
  <w:style w:type="paragraph" w:customStyle="1" w:styleId="pb-2">
    <w:name w:val="pb-2"/>
    <w:basedOn w:val="Normal"/>
    <w:rsid w:val="00355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issue-underline">
    <w:name w:val="issue-underline"/>
    <w:basedOn w:val="DefaultParagraphFont"/>
    <w:rsid w:val="000B0C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3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3542</Words>
  <Characters>20192</Characters>
  <Application>Microsoft Office Word</Application>
  <DocSecurity>0</DocSecurity>
  <Lines>168</Lines>
  <Paragraphs>47</Paragraphs>
  <ScaleCrop>false</ScaleCrop>
  <Company>HP Inc.</Company>
  <LinksUpToDate>false</LinksUpToDate>
  <CharactersWithSpaces>23687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Satwik</dc:creator>
  <cp:keywords/>
  <dc:description/>
  <cp:lastModifiedBy>Satwik</cp:lastModifiedBy>
  <cp:revision>37</cp:revision>
  <dcterms:created xsi:type="dcterms:W3CDTF">2023-12-01T19:27:00Z</dcterms:created>
  <dcterms:modified xsi:type="dcterms:W3CDTF">2023-12-01T20:42:00Z</dcterms:modified>
</cp:coreProperties>
</file>