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81" w:rsidRDefault="00662C81" w:rsidP="00662C81">
      <w:pPr>
        <w:pStyle w:val="pb-2"/>
        <w:numPr>
          <w:ilvl w:val="0"/>
          <w:numId w:val="1"/>
        </w:numPr>
      </w:pPr>
      <w:r>
        <w:t>Genetic engineering involves manipulating an organism's genes using biotechnology to change its genetic makeup.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New DNA is acquired by isolating and copying genetic material through recombinant DNA approaches or artificial manufacturing.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 term "genetic engineering" was first coined by Jack Williamson in his 1951 science fiction novel Dragon's Island.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Genentech, established in 1976, was the first genetic engineering company, producing the first genetically engineered human protein (somatostatin) in E. coli.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 engineering has the potential to replace imperfect genes with functioning ones, addressing severe genetic disorders in humans.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 engineering is a crucial tool in research, enabling the study of specific gene functions and traits.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Genetically modified organisms (GMOs) are engineered to produce drugs, vaccines, and other products.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Crops are genetically engineered to improve food safety, increase yield, nutritional value, and withstand environmental pressures.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They are called genetically modified organisms (GMOs).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 engineering makes insect and weed management easier in crops, indirectly increasing crop yield.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 first commercialized genetically modified food was a tomato with late-ripening, extending its shelf life.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Transposable elements like Minos, Hermes, piggyBac, and Mos1 are used to genetically transform agriculturally important insect species.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 engineering, like the EnviropigTM, can reduce agricultural pollution by producing animals that breakdown dietary phosphorus in their manure.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Intellectual property concerns arise from the patenting of genetically engineered animals and the methods used to create them.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Ethical considerations in genetic engineering include concerns over animal welfare, privacy, and community concerns.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 engineering in human enhancement could lead to biomedical interventions improving human form or functioning beyond health restoration.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Biomedical interventions have improved human lives by attempting to restore deficient functions such as vision, hearing, or mobility.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Recent advances include inserting artificial retinas to give blind patients partial sight.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Researchers have linked the brain of a paralyzed man to a computer chip, restoring partial movement to nonresponsive limbs.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Synthetic blood substitutes, developed through genetic engineering, could be used in human patients in the future.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 primary goal is to manipulate an organism's genes to bring about specific changes.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New DNA is acquired through recombinant DNA approaches or artificial manufacturing.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 term was coined by Jack Williamson in 1951, pre-dating the recognition of DNA's role in inheritance.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Genentech, established in 1976, was the first genetic engineering company, producing the first genetically engineered human protein.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can replace imperfect genes with functioning ones to correct genetic disorders.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allows for the study of specific genes and their functions.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Drugs, vaccines, and other products can be harvested from genetically modified organisms (GMOs).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lastRenderedPageBreak/>
        <w:t>They improve food safety, increase yield, nutritional value, and withstand environmental pressures.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They are called genetically modified organisms (GMOs).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To make insect and weed management easier and indirectly increase crop yield.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 first was a tomato with late-ripening, extending its shelf life.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Transposable elements like Minos, Hermes, piggyBac, and Mos1 are used for genetic transformation.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produces animals like the EnviropigTM that break down dietary phosphorus, reducing pollution.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Concerns arise due to the patenting of genetically engineered animals and methods.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Ethical considerations include concerns over animal welfare, privacy, and community opinions.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has applications in biomedical interventions to enhance human form or functioning.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Technology has improved lives by restoring deficient functions, such as vision, hearing, or mobility.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Advances include inserting artificial retinas to provide partial sight to blind patients.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Linking a paralyzed person's brain to a computer chip can restore partial movement to nonresponsive limbs.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Synthetic blood substitutes, developed through genetic engineering, could be used in human patients in the future.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They include strictly phenotypic involvement, somatic non-heritable genetic intervention, and germline heritable genetic intervention.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Genome editing is considered more accurate, efficient, cost-effective, and has greater potential for applications in human health.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Concerns arise due to the potential heritability of genetic modifications in future generations.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is assumed to have become minimized, indicating that humans are at a potential 'end-point' of evolution.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They could address environmental, ecological, and social challenges, ensuring human adaptation.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could be crucial for human survival and well-being, addressing challenges that traditional evolution may be too slow to adapt to.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Bacteriophages are viruses that infect bacteria. They were independently discovered by Frederick Twort and Felix d‘Herelle in the early 20th century.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Research on phage therapy lagged due to the broader efficacy of antibiotics, but the rise of antibiotic-resistant bacteria renewed interest.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Phages can contribute to prophylaxis and therapy, treating bacterial infections and potentially serving as vaccine platforms.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Phages, as natural viruses, can stimulate immune responses, making them potential scaffolds for developing vaccine stages.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 enhancements in humans include drugs, model animals for research, and gene therapy.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Human insulin was initially manufactured in bacteria through genetic engineering.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 therapy involves replacing defective genes with effective ones in humans, addressing diseases at the genetic level.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became the first gene therapy treatment accepted for clinical use in 2012.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can introduce biological pathways in microalgal cells to directly produce fuel products with minimal processing.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Efforts focus on improved pre-processing, processing efficiency, and developing less recalcitrant feedstocks.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lastRenderedPageBreak/>
        <w:t>Maize and sugarcane are major biofuel-producing grasses, contributing to ~85 billion liters of bioethanol in 2016.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 delayed onset of stress, induced by depletion of water reserves, is a key trait indicating drought resilience in plants.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Research, particularly in Arabidopsis thaliana, has identified candidate genes likely to confer drought resistance in crop species.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While mechanisms are essential, considering the entire system is important for developing crops unaffected by drought.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They include strictly phenotypic involvement, somatic non-heritable genetic intervention, and germline heritable genetic intervention.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Genome editing is considered more accurate, efficient, cost-effective, and has greater potential for applications in human health.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Concerns arise due to the potential heritability of genetic modifications in future generations.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is assumed to have become minimized, indicating that humans are at a potential 'end-point' of evolution.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They could address environmental, ecological, and social challenges, ensuring human adaptation.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could be crucial for human survival and well-being, addressing challenges that traditional evolution may be too slow to adapt to.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Bacteriophages are viruses that infect bacteria. They were independently discovered by Frederick Twort and Felix d‘Herelle in the early 20th century.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Research on phage therapy lagged due to the broader efficacy of antibiotics, but the rise of antibiotic-resistant bacteria renewed interest.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Phages can contribute to prophylaxis and therapy, treating bacterial infections and potentially serving as vaccine platforms.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Phages, as natural viruses, can stimulate immune responses, making them potential scaffolds for developing vaccine stages.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 enhancements in humans include drugs, model animals for research, and gene therapy.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Human insulin was initially manufactured in bacteria through genetic engineering.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 therapy involves replacing defective genes with effective ones in humans, addressing diseases at the genetic level.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became the first gene therapy treatment accepted for clinical use in 2012.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It can introduce biological pathways in microalgal cells to directly produce fuel products with minimal processing.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Efforts focus on improved pre-processing, processing efficiency, and developing less recalcitrant feedstocks.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Maize and sugarcane are major biofuel-producing grasses, contributing to ~85 billion liters of bioethanol in 2016.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 delayed onset of stress, induced by depletion of water reserves, is a key trait indicating drought resilience in plants.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Research, particularly in Arabidopsis thaliana, has identified candidate genes likely to confer drought resistance in crop species.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While mechanisms are essential, considering the entire system is important for developing crops unaffected by drought.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Genetic engineering is any intervention aimed at improving human characteristics, capacities, or well-being, even without pathology.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Phenotypic interventions have limited societal influences, while genetic interventions, especially heritable ones, have broader implications.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lastRenderedPageBreak/>
        <w:t>Genome editing is radical due to its efficiency, reduced cost, and time. It has applications in preventing and treating diseases.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The assumption is that within the human species, the force of natural selection has been minimized, potentially reaching an 'end-point' of evolution.</w:t>
      </w:r>
    </w:p>
    <w:p w:rsidR="00662C81" w:rsidRDefault="00662C81" w:rsidP="00662C81">
      <w:pPr>
        <w:pStyle w:val="pb-2"/>
        <w:numPr>
          <w:ilvl w:val="0"/>
          <w:numId w:val="1"/>
        </w:numPr>
      </w:pPr>
      <w:r>
        <w:t>Phages can contribute to preventing and treating bacterial infections, and they can stimulate an immune response.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revenue reached US$ 112.2 billion.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R&amp;D expenses jumped 14% over the year 2015, reaching about US$ 38.8 billion.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They represent nearly three quarters of the US biotech revenue and over half of total biotech revenue worldwide.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pioneer and largest major area is therapeutic purposes on humans.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has led to advancements like the Human Genome Project, revealing crucial information about the human genome.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Only 1.1% of the genome is spanned by exons.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led to the discovery of 1800 disease genes, over 2000 genetic tests, and various biotech products applied in clinical trials.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aimed to map and understand common patterns of human genetic variation, providing valuable data for genetic studies.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NGS has made WGS of an individual more accessible and is no longer a difficult challenge for scientific research.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aims to identify and catalogue all genetic abnormalities found in 50 different types of cancer, contributing to cancer prevention and treatment.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launched the largest cohort study, sequencing the whole genomes of one million volunteers, paving the way for personalized care.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aims to alter genetic mutations, either gain-of-function or loss-of-function, to restore normal function and treat diseases.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was successful in treating tyrosinemia disease due to Fah mutations in hepatocytes.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Improving specificity is crucial to avoid unwanted genomic modifications, and methods like Cas9 nickase and shorter guide RNA are used.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interacts accurately with target genes, improving specificity in multiple human cell lines.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was approved in June 2016, marking a significant step in applying gene editing technologies in clinical settings.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aimed to treat advanced stages of myeloma, sarcoma, and melanoma by removing specific genes and introducing therapeutic ones.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Combining CRISPR/Cas9 with other technologies is expected to enhance the effectiveness of cancer treatment.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Ensuring the technique is safe is crucial, and the trial aimed to demonstrate safety, especially concerning breakage site accuracy.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is expected to lead the molecular diagnostics market with a projected growth to US$ 4.2 billion by 2023.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forms a small segment globally but is projected to have the fastest growth rate.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is expected to focus on infectious diseases, cancer, pharmacogenomics, and screening for inherited diseases.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has made rapid progress, with genetically modified (GM) maize acres growing rapidly, and GM soybean acres anticipated to expand.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Studies aim to increase biotech products and address problems related to environmental pollution.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lastRenderedPageBreak/>
        <w:t>It introduces biological pathways in microalgal cells for direct production of fuel products, reducing processing requirements.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Efforts focus on improved pre-processing, processing efficiency, and developing less recalcitrant feedstocks.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They remain the world‘s largest biofuel-producing feedstocks, contributing to ~85 billion liters of bioethanol in 2016.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explores altering or introducing genes, including gene promoters and transcription factors, to enhance drought resilience.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delayed onset of stress induced by depletion of water reserves is a key measurable trait indicating drought resilience.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Revenue increased by a significant 14% from 2015 to reach US$ 112.2 billion in 2016.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They represented nearly three quarters of the US biotech revenue, securing over half of the total biotech revenue worldwide.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Therapeutic applications on humans are considered pioneering and the largest major area in biotechnology.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project primarily used the hierarchical shotgun sequencing method, revealing that only 1.1% of the genome is spanned by exons.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led to the discovery of 1800 disease genes, over 2000 genetic tests, and various biotech products applied in clinical trials.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project aimed to map and understand common patterns of human genetic variation, accelerating the understanding of genetic variants affecting health.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NGS has made WGS more accessible, with rapid advancements in technology, enabling efficient analyses of multiple genes.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TCGA aimed to identify and catalogue genetic abnormalities in 50 cancer types, contributing to improved diagnostics, treatment standards, and cancer prevention.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PMI, through a large cohort study, aims to sequence the whole genomes of one million volunteers, providing insights into individual differences for personalized medicine.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goal is to alter genetic mutations, either gain-of-function or loss-of-function, to restore normal function and treat diseases.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was successful in treating tyrosinemia disease due to Fah mutations in hepatocytes, demonstrating its therapeutic potential.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Improving specificity is essential to avoid unintended genomic modifications, and methods like Cas9 nickase and shorter guide RNA are utilized.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variant interacts accurately with target genes, significantly improving specificity in multiple human cell lines.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marked the approval for applying CRISPR/Cas9 technology in human cell trials, paving the way for clinical applications.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trial focused on treating advanced stages of myeloma, sarcoma, and melanoma by removing genes encoding PD-1 protein and introducing therapeutic ones.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Combining technologies is expected to synergize and improve the effectiveness of cancer treatment.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Ensuring safety is crucial to address concerns about accuracy, and the first trial aimed to demonstrate safety, especially regarding breakage site accuracy.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market is projected to reach US$ 4.2 billion by 2023, being the fastest-growing segment due to its rapid advancements.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lastRenderedPageBreak/>
        <w:t>The sector has rapidly progressed, with GM maize acres growing and GM soybean acres anticipated to expand in the coming years.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Studies aim to increase biotech products and address environmental pollution problems related to genetic engineering.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introduces biological pathways in microalgal cells for direct fuel production, with a focus on improving pre-processing and feedstock development.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Maize and sugarcane are major contributors, accounting for ~85 billion liters of bioethanol production in 2016.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explores altering or introducing genes, including promoters and transcription factors, to enhance drought resilience, with a focus on the delayed onset of stress.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TCGA aimed to identify genetic abnormalities in 50 different types of cancer, characterizing the genomic landscape of 33 cancer types.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marks a crucial step in applying gene editing technologies to human cell trials, opening doors for potential clinical applications.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An increase in chronic disorders, an aging population, and a trend toward personalized medicine.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They detect and identify disease-associated DNA or RNA sequences with high precision.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PCR and its advanced variants are highly efficient, constituting over 75% of the market share.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Screening and detecting infectious diseases, genetic disorders, and cancer at the early stage.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They yield 100% sensitivity for detecting influenza A subtypes H1N1, H3N2, and H5N1.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To monitor HIV-1-infected patients and assess transmitted drug resistance, contributing to better patient care.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Quantification uses RT-PCR, NASBA, or branched chain DNA, while genotyping employs TruGene and ViroSeq systems.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Tests, such as VERSANT and COBAS, quantify viral DNA, aiding in the screening and drug response measurement.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provides more accurate results for detecting bacterial infections in vaginal specimens.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treats or reduces diseases by transferring genes, gene fragments, or oligonucleotides into patient cells.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In vivo gene therapy directly approaches target cells using viral or non-viral vectors for gene transfer.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Ex vivo gene therapy selects cells from the patient, cultures them, genetically modifies them, and then returns them to the patient's body.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The US has been at the forefront, representing 62.9% of global gene therapy clinical trials.</w:t>
      </w:r>
    </w:p>
    <w:p w:rsidR="00DC12B7" w:rsidRDefault="00DC12B7" w:rsidP="00DC12B7">
      <w:pPr>
        <w:pStyle w:val="pb-2"/>
        <w:numPr>
          <w:ilvl w:val="0"/>
          <w:numId w:val="1"/>
        </w:numPr>
      </w:pPr>
      <w:r>
        <w:t>It contributed over 95% (around US$ 235 million) in 2015 and is expected to grow substantially in the next 7 years.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Modern genetic techniques aid in vaccine design by detecting antigens, inducing immune responses, and generating T cell vaccines.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It involves mimicking the binding sites of broadly neutralizing antibodies to create antigens for vaccine development.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CARs enhance immune response, and they are designed to express specific receptors for antigens to eliminate abnormal cells.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DNA vaccines, well-tolerated and cost-effective, are used to stimulate immune responses and can be combined with molecular adjuvants.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lastRenderedPageBreak/>
        <w:t>The US has been a leader since 1996, commercializing various GM crops such as maize, soybean, cotton, and others.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Bt corn variants, with events like MIR604 and SmartStax, provided high levels of protection against corn rootworm and European corn borer.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Advancements in biotechnology and changes in intellectual property rights make seed selection a profitable research direction.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genetic event and promoter influence the amount, type, and location of endotoxin production, impacting the hybrid's protection.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Cisgenesis, CRISPR/Cas9, zinc finger nuclease technology, synthetic genomics, and others.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It contains events expressing multiple endotoxins (Cry1A.105, Cry2Ab2, Cry1F, Cry3Bb1, Cry34Ab1, and Cry35Ab1) for broad pest resistance.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DNA vaccines are well-tolerated, safe, low-cost, and stimulate a high potential for immune system activation, making them promising for cancer immunotherapy.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Early-stage cancer detection is crucial for better prognosis, and molecular diagnostic tests focus on screening and identifying cancer at its early stages.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NGS, microarray, and FISH methods contribute to disease detection in various scenarios, offering versatility in infectious diseases, genetic disorders, and cancer.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Viral RNA quantitative assays monitor HIV-1 viral load, aiding in treatment decisions and assessing transmitted drug resistance.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Quantifying HBV DNA is vital for assessing infection severity, and commercial kits like VERSANT and COBAS are commonly used for high sensitivity.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Multiplex-PCR allows the identification of Neisseria meningitidis, Streptococcus pneumoniae, and Haemophilus influenzae type B, which are common causes of bacterial meningitis.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challenge lies in microbial resistance, and rapid detection methods, like PCR, help in timely identification of antibiotic-resistant strains.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COBAS AmpliPrep/COBAS TaqMan HIV-1 test quantitates HIV-1 viral load with a detection range of 50-1,000,000 copies/ml.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Gene therapy addresses genetic disorders like ADA deficiency, infectious diseases like HIV, and various cancers, showcasing its broad applications.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Directly transferring genes into target cells aims to change cell phenotypes temporarily or permanently, leading to apoptosis or recovery of healthy cellular functions.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CRISPR/Cas9 and synthetic genomics overcome limitations in conventional breeding, allowing precise genetic modifications in plant biotechnology.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US has been a leader in commercializing GM crops since 1996, and factors like advancements in biotechnology and changes in intellectual property rights have fueled rapid growth.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Seed selection is crucial for profits, and changes in intellectual property rights influence research directions by enabling companies to earn profits from developed seeds.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CRISPR/Cas9 enables precise genetic modifications in plants, providing benefits like targeted gene editing and overcoming limitations of conventional methods.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SmartStax hybrid uses multiple events expressing different endotoxins to provide broad protection against pests, addressing challenges in pest resistance management.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lastRenderedPageBreak/>
        <w:t>Reverse vaccinology and monoclonal antibody techniques contribute to designing vaccines by mimicking binding sites, with success seen in preventing diseases like RSV.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Roundup Ready Corn is a glyphosate-resistant corn variety, first commercialized by Monsanto in 1996.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Liberty Link Corn, developed by Bayer CropScience, is resistant to glufosinate herbicides.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Pioneer HiBred used chimeric RNA/DNA oligonucleotides for targeted gene modification, showing its applicability in crop improvement.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Oligonucleotide-mediated gene manipulation is advantageous as it modifies genes within the chromosomal context, avoiding issues like position effects and transgene silencing.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MON 87419 had stacked tolerance to glufosinate and dicamba, while MZIR098 had glufosinate-resistance and stacked insect resistance, providing growers with more herbicide options.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Glyphosate-resistant weeds led to the development of crops resistant to multiple herbicides, providing growers with diverse options and modes of action.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trait, provided by the insertion of the gene for "cold shock protein B," enhances drought tolerance and conserves soil moisture, reducing yield loss under drought conditions.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DroughtGard maize hybrids offer improved hydro efficiency, and their planted hectares increased by 45% from 2015 to 2016.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US regulators approved 44 single maize events since 1996, with traits including insect resistance, herbicide tolerance, drought tolerance, and stacks thereof.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majority of US soybeans come from genetically modified seeds, with Roundup Ready® soybeans expressing a glyphosate-tolerant trait.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RReady2YieldTM represented a new generation of herbicide-tolerant soybeans, and 24 GM soybean events were approved by 2016.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Scientists inserted a plasmid with EPSPS and related elements, including an enhanced 35S promoter and a nopaline synthase transcriptional termination element, using a gene gun.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Glyphosate-resistant weeds prompted the development of crops resistant to multiple herbicides, ensuring prolonged effectiveness and weed management strategies.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Downregulation of FAD2-1A and -1B genes increased oleic and stearic soybean oils, achieved through seed-specific expression of posttranscriptional gene-silencing elements.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Low phytic acid mutations improved nutrient absorption and reduced phosphorus pollution in animal feed.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Flax, papaya, potatoes, radicchio, canola, rice, squash, alfalfa, sugar beets, and tomatoes are among the crops approved for commercialization, with various traits introduced.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GM crops face concerns about risks to human health, prompting the US government to implement strict ethical regulations and invest in research to ensure safety.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New biotech apples and potatoes are expected to move quickly through the regulatory pipeline, featuring disease resistance or nutrition enhancement.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CRISPR/Cas9 technology was used to remove base pairs in the mushroom's genome, reducing polyphenol oxidase activity and preventing browning, making it the first CRISPR-edited organism approved.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lastRenderedPageBreak/>
        <w:t>CRISPR/Cas9 technology has been used to develop new varieties of crops, providing benefits like disease resistance and improved characteristics.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CRISPR/Cas9 enables cisgenic breeding without inserting foreign genes, leading to lower regulatory hurdles compared to transgenics.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CRISPR/Cas9 was used to manipulate the CD163 gene, conferring PRRSV-resistance in pigs, providing a practical means to eliminate a major source of economic hardship.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Roundup Ready Corn is a glyphosate-resistant corn variety, commercially launched by Monsanto in 1996.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Liberty Link Corn is resistant to glufosinate herbicides and differs in its herbicide resistance trait compared to Roundup Ready Corn.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Pioneer HiBred used chimeric RNA/DNA oligonucleotides to confer imidazolinone herbicide resistance, showcasing its applicability in crop improvement.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Oligonucleotide-mediated gene manipulation is advantageous as it modifies genes within their normal chromosomal context, avoiding issues like position effects and transgene silencing.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MON 87419 had stacked tolerance to glufosinate and dicamba, while MZIR098 had glufosinate-resistance and stacked insect resistance, providing growers with versatile herbicide options.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rapid evolution of glyphosate-resistant weeds prompted the creation of crops resistant to multiple herbicides, offering growers diverse weed management strategies.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trait, incorporating the "cold shock protein B" gene, enhances drought tolerance and conserves soil moisture, providing a solution to worsening drought conditions.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DroughtGard maize hybrids offer improved hydro efficiency, and their planted hectares increased by 45% from 2015 to 2016.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US regulators approved 44 single maize events since 1996, featuring traits such as insect resistance, herbicide tolerance, drought tolerance, and stacked combinations.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majority of US soybeans come from genetically modified seeds, and Roundup Ready® soybeans express a glyphosate-tolerant trait.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RReady2YieldTM represented a new generation of herbicide-tolerant soybeans, and 24 GM soybean events were approved for food, feed, and cultivation by 2016.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Scientists used a gene gun to insert a plasmid with EPSPS and related elements, including an enhanced 35S promoter and a nopaline synthase transcriptional termination element.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The rapid evolution of glyphosate-resistant weeds led to the development of crops resistant to multiple herbicides, ensuring prolonged weed management effectiveness.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Downregulation of FAD2-1A and -1B genes increased oleic and stearic soybean oils, achieved through seed-specific expression of posttranscriptional gene-silencing elements.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Low phytic acid mutations improved human absorption of iron and zinc, while also reducing phosphorus pollution in animal feed.</w:t>
      </w:r>
    </w:p>
    <w:p w:rsidR="009A346F" w:rsidRDefault="009A346F" w:rsidP="009A346F">
      <w:pPr>
        <w:pStyle w:val="pb-2"/>
        <w:numPr>
          <w:ilvl w:val="0"/>
          <w:numId w:val="1"/>
        </w:numPr>
      </w:pPr>
      <w:r>
        <w:t>Flax, papaya, potatoes, radicchio, canola, rice, squash, alfalfa, sugar beets, and tomatoes received commercialization approval, featuring various introduced traits.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GA is an optimization algorithm inspired by natural selection, employing survival of the fittest principles.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lastRenderedPageBreak/>
        <w:t>New populations in GA are created by applying genetic operators iteratively, including chromosome representation, selection, crossover, mutation, and fitness function computation.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Random initialization ensures diversity in the population, allowing GA to explore a wide search space.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Selection, crossover, and mutation operations contribute to the evolution of the population, and these steps are repeated until a new population is formed.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GA dynamically changes the search process by adjusting crossover and mutation probabilities, adapting to different stages of evolution.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The crossover rate (Cp) in GA influences the probability of producing offspring through the single-point crossover operator.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The mathematical analysis of GA involves the parameter R, dynamically changing with the number of evolutionary generations, ensuring balance and diversity.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In the early stages, low similarity ensures that the new population doesn't destroy the initial genetic schema, preserving diversity and preventing premature convergence.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The Schema theorem guides the replacement of original schemas with modified ones, contributing to diversity preservation in the population.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Algorithm 1 pseudocode illustrates the main steps of a classical genetic algorithm, including initialization, selection, crossover, mutation, and population update.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Genetic operators in GAs include encoding schemes, crossover, mutation, and selection, collectively contributing to the search process.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Encoding schemes are vital in GAs for representing problem domains, with examples like binary, octal, hexadecimal, permutation, value-based, and tree encoding.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Binary encoding represents genes as strings of 1s and 0s in GAs, but challenges include issues like epistasis and natural representation in certain engineering design problems.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Roulette wheel selection in GAs determines the participation of individuals in the reproduction process based on their fitness values.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Rank selection in GAs is a modification of roulette wheel selection, using ranks instead of fitness values to reduce premature convergence.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Tournament selection in GAs involves selecting individuals based on fitness values in pairs, with higher fitness individuals added to the next generation pool.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Stochastic universal sampling in GAs is an extension of roulette wheel selection, improving the even distribution of selection probabilities by using random starting points.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Boltzmann selection in GAs is based on entropy and sampling, addressing premature convergence by introducing randomness and preventing information loss.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Elitism selection in GAs ensures that the best individual always propagates to the next generation, preventing the loss of the fittest solution.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Order crossover in GAs involves copying parts of parent chromosomes to generate offspring, especially useful for ordering problems.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Partial matched crossover in GAs maintains the ordering of solutions and contributes to better exploration, especially in multi-objective scheduling problems.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Shuffle crossover in GAs was introduced to reduce bias from other crossover techniques, shuffling values before crossover and restoring them afterward.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Reduced surrogate crossover in GAs assumes that better individuals result from diverse parent chromosomes and reduces unnecessary crossovers in similar compositions.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GA variants are classified into real and binary coded, multiobjective, parallel, chaotic, and hybrid GAs based on chromosome representations and objectives.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lastRenderedPageBreak/>
        <w:t>GA is an optimization algorithm inspired by natural selection, employing survival of the fittest principles.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New populations in GA are created by applying genetic operators iteratively, including chromosome representation, selection, crossover, mutation, and fitness function computation.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Random initialization ensures diversity in the population, allowing GA to explore a wide search space.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Selection, crossover, and mutation operations contribute to the evolution of the population, and these steps are repeated until a new population is formed.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GA dynamically changes the search process by adjusting crossover and mutation probabilities, adapting to different stages of evolution.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The crossover rate (Cp) in GA influences the probability of producing offspring through the single-point crossover operator.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The mathematical analysis of GA involves the parameter R, dynamically changing with the number of evolutionary generations, ensuring balance and diversity.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In the early stages, low similarity ensures that the new population doesn't destroy the initial genetic schema, preserving diversity and preventing premature convergence.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The Schema theorem guides the replacement of original schemas with modified ones, contributing to diversity preservation in the population.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Algorithm 1 pseudocode illustrates the main steps of a classical genetic algorithm, including initialization, selection, crossover, mutation, and population update.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Genetic operators in GAs include encoding schemes, crossover, mutation, and selection, collectively contributing to the search process.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Encoding schemes are vital in GAs for representing problem domains, with examples like binary, octal, hexadecimal, permutation, value-based, and tree encoding.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Binary encoding represents genes as strings of 1s and 0s in GAs, but challenges include issues like epistasis and natural representation in certain engineering design problems.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Roulette wheel selection in GAs determines the participation of individuals in the reproduction process based on their fitness values.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Rank selection in GAs is a modification of roulette wheel selection, using ranks instead of fitness values to reduce premature convergence.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Tournament selection in GAs involves selecting individuals based on fitness values in pairs, with higher fitness individuals added to the next generation pool.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Stochastic universal sampling in GAs is an extension of roulette wheel selection, improving the even distribution of selection probabilities by using random starting points.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Boltzmann selection in GAs is based on entropy and sampling, addressing premature convergence by introducing randomness and preventing information loss.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Elitism selection in GAs ensures that the best individual always propagates to the next generation, preventing the loss of the fittest solution.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Order crossover in GAs involves copying parts of parent chromosomes to generate offspring, especially useful for ordering problems.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Partial matched crossover in GAs maintains the ordering of solutions and contributes to better exploration, especially in multi-objective scheduling problems.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Shuffle crossover in GAs was introduced to reduce bias from other crossover techniques, shuffling values before crossover and restoring them afterward.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Reduced surrogate crossover in GAs assumes that better individuals result from diverse parent chromosomes and reduces unnecessary crossovers in similar compositions.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lastRenderedPageBreak/>
        <w:t>GA variants are classified into real and binary coded, multiobjective, parallel, chaotic, and hybrid GAs based on chromosome representations and objectives.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Real-coded GAs differ by representing chromosomes with real values, offering robustness and accuracy, while binary-coded GAs face challenges like Hamming cliffs and precision issues.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Crossover operators are crucial in real-coded GAs, and researchers have modified them to enhance performance in continuous search spaces, introducing operators like simulated binary crossover (SBX).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Simulated binary crossover (SBX) in real-coded GAs overcomes Hamming cliffs and precision challenges, ensuring better exploration and avoiding premature convergence.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MOGAs aim to generate the optimal Pareto Front without disturbing other fitness functions, differing from simple GAs in fitness function assignment.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Convergence, diversity, and coverage are main goals in multiobjective GAs, ensuring a well-distributed and representative set of solutions.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Multiobjective GAs are categorized into Pareto-based and decomposition-based, differing in how they handle Pareto dominance and subproblem decomposition.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Pareto dominance in multiobjective GAs, introduced by Fonseca and Fleming, determines the superiority of one solution over another in multiple objectives.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NSGA is introduced to address Pareto dominance, but it faces challenges such as a lack of elitism, the need for sharing parameters, and high computation complexity.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NSGA-II introduces elitism to address diversity maintenance challenges in Pareto fronts, providing a fast and efficient non-dominated sorting approach.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Dynamic crowding distance, proposed by Luo et al., enhances NSGA-II's diversity maintenance by adapting the crowding distance to evolving population characteristics.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NPGA is introduced to handle multimodal problems in MOGAs, using tournament selection and Pareto dominance to maintain diversity and make informed selections.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Pareto-based approaches may face performance deterioration in many-objective problems due to challenges in handling numerous objectives and maintaining diversity.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Decomposition-based multiobjective GAs decompose problems into subproblems, solving them simultaneously and exchanging solutions among neighboring subproblems.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MOGLS achieves multiobjective optimization, using random weights for parent selection and local search to explore different regions of the search space.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C-MOGA extends MOGA by introducing a cellular structure, performing selection within cells to enhance the cooperative evolution of solutions.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CI-MOGA introduces immigration to enhance diversity, allowing individuals to move between cells and maintain a diverse set of solutions.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Tchebycheffs-based genetic algorithm (MOTGA) is introduced for convergence and diversity, utilizing the Tchebycheff scalar function to generate non-dominated solutions.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Opposition-based learning contributes to D-MOGA by improving weight vector generation, providing balance between solution diversity and exploration of the search space.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Parallel genetic algorithms aim to enhance computational efficiency and solution quality by distributing individuals across processors.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Parallel genetic algorithms are categorized into master-slave, fine-grained, and multi-population coarse-grained. Master-slave GAs distribute fitness function computations over several processors.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Fine-grained parallel genetic algorithms utilize parallel computers to solve real-life problems, with genetic operators interacting within their neighborhoods.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lastRenderedPageBreak/>
        <w:t>Multi-population coarse-grained parallel genetic algorithms involve exchanging individuals among subpopulations, facilitating diversity and information sharing.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Master-slave parallel GAs maximize computation power by utilizing a large number of processors, but they may face challenges in high computational time.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Hong et al. used master-slave parallel GAs for solving data mining problems, implementing fuzzy rules with parallel computation of fitness functions.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Sahingzo implemented master-slave parallel GAs for UAV pathfinding problems, distributing genetic operator executions across processors for parallel computation.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Opposition-based learning in D-MOGA improves weight vector generation, enhancing the balance between solution diversity and exploration of the search space.</w:t>
      </w:r>
    </w:p>
    <w:p w:rsidR="008638F9" w:rsidRPr="008638F9" w:rsidRDefault="008638F9" w:rsidP="008638F9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Parallel genetic algorithms address challenges by maximizing memory bandwidth and arranging threads to harness the computational power of GPUs.</w:t>
      </w:r>
    </w:p>
    <w:p w:rsidR="00662C81" w:rsidRPr="00662C81" w:rsidRDefault="008638F9" w:rsidP="00662C81">
      <w:pPr>
        <w:pStyle w:val="ListParagraph"/>
        <w:numPr>
          <w:ilvl w:val="0"/>
          <w:numId w:val="1"/>
        </w:numPr>
        <w:rPr>
          <w:lang w:val="en-US"/>
        </w:rPr>
      </w:pPr>
      <w:r w:rsidRPr="008638F9">
        <w:rPr>
          <w:lang w:val="en-US"/>
        </w:rPr>
        <w:t>Control parameters in multi-population coarse-grained parallel genetic algorithms are transferred during migration, influencing the exchange of i</w:t>
      </w:r>
      <w:r w:rsidR="00C804E1">
        <w:rPr>
          <w:lang w:val="en-US"/>
        </w:rPr>
        <w:t>ndividuals among subpopulations.</w:t>
      </w:r>
      <w:bookmarkStart w:id="0" w:name="_GoBack"/>
      <w:bookmarkEnd w:id="0"/>
      <w:r w:rsidR="00C804E1" w:rsidRPr="00662C81">
        <w:rPr>
          <w:lang w:val="en-US"/>
        </w:rPr>
        <w:t xml:space="preserve"> </w:t>
      </w:r>
    </w:p>
    <w:sectPr w:rsidR="00662C81" w:rsidRPr="0066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34C4"/>
    <w:multiLevelType w:val="hybridMultilevel"/>
    <w:tmpl w:val="047C6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13"/>
    <w:rsid w:val="00103DF2"/>
    <w:rsid w:val="002E6613"/>
    <w:rsid w:val="00662C81"/>
    <w:rsid w:val="007A3971"/>
    <w:rsid w:val="008638F9"/>
    <w:rsid w:val="009A346F"/>
    <w:rsid w:val="00C804E1"/>
    <w:rsid w:val="00D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831E"/>
  <w15:chartTrackingRefBased/>
  <w15:docId w15:val="{D8A9D7CD-FEFD-4C6F-9030-8AB71327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C81"/>
    <w:pPr>
      <w:ind w:left="720"/>
      <w:contextualSpacing/>
    </w:pPr>
  </w:style>
  <w:style w:type="paragraph" w:customStyle="1" w:styleId="pb-2">
    <w:name w:val="pb-2"/>
    <w:basedOn w:val="Normal"/>
    <w:rsid w:val="0066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5767</Words>
  <Characters>32876</Characters>
  <Application>Microsoft Office Word</Application>
  <DocSecurity>0</DocSecurity>
  <Lines>273</Lines>
  <Paragraphs>77</Paragraphs>
  <ScaleCrop>false</ScaleCrop>
  <Company>HP Inc.</Company>
  <LinksUpToDate>false</LinksUpToDate>
  <CharactersWithSpaces>38566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7</cp:revision>
  <dcterms:created xsi:type="dcterms:W3CDTF">2023-12-01T23:32:00Z</dcterms:created>
  <dcterms:modified xsi:type="dcterms:W3CDTF">2023-12-02T00:20:00Z</dcterms:modified>
</cp:coreProperties>
</file>