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D761D">
      <w:pPr>
        <w:pStyle w:val="2"/>
        <w:jc w:val="center"/>
        <w:rPr>
          <w:rFonts w:hint="default" w:ascii="Arial" w:hAnsi="Arial" w:eastAsia="宋体" w:cs="Arial"/>
          <w:sz w:val="52"/>
          <w:szCs w:val="52"/>
        </w:rPr>
      </w:pPr>
      <w:bookmarkStart w:id="0" w:name="_Toc374399224"/>
      <w:bookmarkStart w:id="1" w:name="_Toc24502"/>
      <w:r>
        <w:rPr>
          <w:rFonts w:hint="default" w:ascii="Arial" w:hAnsi="Arial" w:eastAsia="宋体" w:cs="Arial"/>
          <w:sz w:val="52"/>
          <w:szCs w:val="52"/>
        </w:rPr>
        <w:t>Desk Reader</w:t>
      </w:r>
      <w:bookmarkEnd w:id="0"/>
      <w:r>
        <w:rPr>
          <w:rFonts w:hint="default" w:ascii="Arial" w:hAnsi="Arial" w:eastAsia="宋体" w:cs="Arial"/>
          <w:sz w:val="52"/>
          <w:szCs w:val="5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52"/>
          <w:szCs w:val="52"/>
        </w:rPr>
        <w:t>User Manual</w:t>
      </w:r>
      <w:bookmarkEnd w:id="1"/>
    </w:p>
    <w:p w14:paraId="0C249AAB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br w:type="page"/>
      </w:r>
    </w:p>
    <w:sdt>
      <w:sdtPr>
        <w:rPr>
          <w:rFonts w:hint="default" w:ascii="Arial" w:hAnsi="Arial" w:eastAsia="宋体" w:cs="Arial"/>
          <w:kern w:val="2"/>
          <w:sz w:val="21"/>
          <w:szCs w:val="22"/>
          <w:lang w:val="en-US" w:eastAsia="zh-CN" w:bidi="ar-SA"/>
        </w:rPr>
        <w:id w:val="147466125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宋体" w:cs="Arial"/>
          <w:kern w:val="2"/>
          <w:sz w:val="21"/>
          <w:szCs w:val="21"/>
          <w:lang w:val="en-US" w:eastAsia="zh-CN" w:bidi="ar-SA"/>
        </w:rPr>
      </w:sdtEndPr>
      <w:sdtContent>
        <w:p w14:paraId="190EFAD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</w:rPr>
          </w:pPr>
          <w:r>
            <w:rPr>
              <w:rFonts w:hint="default" w:ascii="Arial" w:hAnsi="Arial" w:eastAsia="宋体" w:cs="Arial"/>
              <w:sz w:val="21"/>
            </w:rPr>
            <w:t>Table of contents</w:t>
          </w:r>
          <w:bookmarkStart w:id="21" w:name="_GoBack"/>
          <w:bookmarkEnd w:id="21"/>
        </w:p>
        <w:p w14:paraId="58490FD5">
          <w:pPr>
            <w:pStyle w:val="8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 w:val="21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 w:val="21"/>
              <w:szCs w:val="21"/>
            </w:rPr>
            <w:instrText xml:space="preserve">TOC \o "1-3" \h \u </w:instrText>
          </w:r>
          <w:r>
            <w:rPr>
              <w:rFonts w:hint="default" w:ascii="Arial" w:hAnsi="Arial" w:eastAsia="宋体" w:cs="Arial"/>
              <w:sz w:val="21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_Toc24502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52"/>
            </w:rPr>
            <w:t>Desk Reader</w:t>
          </w:r>
          <w:r>
            <w:rPr>
              <w:rFonts w:hint="default" w:ascii="Arial" w:hAnsi="Arial" w:eastAsia="宋体" w:cs="Arial"/>
              <w:szCs w:val="52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szCs w:val="52"/>
            </w:rPr>
            <w:t>User Manual</w:t>
          </w:r>
          <w:r>
            <w:tab/>
          </w:r>
          <w:r>
            <w:fldChar w:fldCharType="begin"/>
          </w:r>
          <w:r>
            <w:instrText xml:space="preserve"> PAGEREF _Toc24502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4819AC11">
          <w:pPr>
            <w:pStyle w:val="8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_Toc30055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1.</w:t>
          </w:r>
          <w:r>
            <w:rPr>
              <w:rFonts w:hint="default" w:ascii="Arial" w:hAnsi="Arial" w:eastAsia="宋体" w:cs="Arial"/>
              <w:szCs w:val="32"/>
              <w:lang w:val="en-US" w:eastAsia="zh-CN"/>
            </w:rPr>
            <w:t>Operating environment</w:t>
          </w:r>
          <w:r>
            <w:tab/>
          </w:r>
          <w:r>
            <w:fldChar w:fldCharType="begin"/>
          </w:r>
          <w:r>
            <w:instrText xml:space="preserve"> PAGEREF _Toc30055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1CE7AD09">
          <w:pPr>
            <w:pStyle w:val="8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_Toc29830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2.</w:t>
          </w:r>
          <w:r>
            <w:rPr>
              <w:rFonts w:hint="default" w:ascii="Arial" w:hAnsi="Arial" w:eastAsia="宋体" w:cs="Arial"/>
              <w:szCs w:val="32"/>
              <w:lang w:val="en-US" w:eastAsia="zh-CN"/>
            </w:rPr>
            <w:t>Connect Reader</w:t>
          </w:r>
          <w:r>
            <w:tab/>
          </w:r>
          <w:r>
            <w:fldChar w:fldCharType="begin"/>
          </w:r>
          <w:r>
            <w:instrText xml:space="preserve"> PAGEREF _Toc29830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35A4A756">
          <w:pPr>
            <w:pStyle w:val="8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_Toc4993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3.</w:t>
          </w:r>
          <w:r>
            <w:rPr>
              <w:rFonts w:hint="default" w:ascii="Arial" w:hAnsi="Arial" w:eastAsia="宋体" w:cs="Arial"/>
              <w:szCs w:val="32"/>
            </w:rPr>
            <w:t>Query</w:t>
          </w:r>
          <w:r>
            <w:tab/>
          </w:r>
          <w:r>
            <w:fldChar w:fldCharType="begin"/>
          </w:r>
          <w:r>
            <w:instrText xml:space="preserve"> PAGEREF _Toc4993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3ECBC9D9">
          <w:pPr>
            <w:pStyle w:val="8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_Toc2743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4.</w:t>
          </w:r>
          <w:r>
            <w:rPr>
              <w:rFonts w:hint="default" w:ascii="Arial" w:hAnsi="Arial" w:eastAsia="宋体" w:cs="Arial"/>
              <w:szCs w:val="32"/>
            </w:rPr>
            <w:t>Read and write</w:t>
          </w:r>
          <w:r>
            <w:tab/>
          </w:r>
          <w:r>
            <w:fldChar w:fldCharType="begin"/>
          </w:r>
          <w:r>
            <w:instrText xml:space="preserve"> PAGEREF _Toc2743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7EFEAFF6">
          <w:pPr>
            <w:pStyle w:val="9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_Toc27922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t>4.1) Read and write tags</w:t>
          </w:r>
          <w:r>
            <w:tab/>
          </w:r>
          <w:r>
            <w:fldChar w:fldCharType="begin"/>
          </w:r>
          <w:r>
            <w:instrText xml:space="preserve"> PAGEREF _Toc27922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1848E3F9"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_Toc24763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t xml:space="preserve">4.2) Write </w:t>
          </w:r>
          <w:r>
            <w:rPr>
              <w:rFonts w:hint="default" w:ascii="Arial" w:hAnsi="Arial" w:eastAsia="宋体" w:cs="Arial"/>
              <w:szCs w:val="21"/>
              <w:lang w:val="en-US" w:eastAsia="zh-CN"/>
            </w:rPr>
            <w:t>tag</w:t>
          </w:r>
          <w:r>
            <w:rPr>
              <w:rFonts w:hint="default" w:ascii="Arial" w:hAnsi="Arial" w:eastAsia="宋体" w:cs="Arial"/>
              <w:szCs w:val="21"/>
            </w:rPr>
            <w:t>s in batches</w:t>
          </w:r>
          <w:r>
            <w:tab/>
          </w:r>
          <w:r>
            <w:fldChar w:fldCharType="begin"/>
          </w:r>
          <w:r>
            <w:instrText xml:space="preserve"> PAGEREF _Toc24763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68D32C1E"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_Toc7555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t>4.3) lock tag</w:t>
          </w:r>
          <w:r>
            <w:tab/>
          </w:r>
          <w:r>
            <w:fldChar w:fldCharType="begin"/>
          </w:r>
          <w:r>
            <w:instrText xml:space="preserve"> PAGEREF _Toc7555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09E3DDD7"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_Toc10256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t xml:space="preserve">4.4) </w:t>
          </w:r>
          <w:r>
            <w:rPr>
              <w:rFonts w:hint="default" w:ascii="Arial" w:hAnsi="Arial" w:eastAsia="宋体" w:cs="Arial"/>
              <w:szCs w:val="21"/>
              <w:lang w:val="en-US" w:eastAsia="zh-CN"/>
            </w:rPr>
            <w:t>Kill</w:t>
          </w:r>
          <w:r>
            <w:rPr>
              <w:rFonts w:hint="default" w:ascii="Arial" w:hAnsi="Arial" w:eastAsia="宋体" w:cs="Arial"/>
              <w:szCs w:val="21"/>
            </w:rPr>
            <w:t xml:space="preserve"> tag</w:t>
          </w:r>
          <w:r>
            <w:tab/>
          </w:r>
          <w:r>
            <w:fldChar w:fldCharType="begin"/>
          </w:r>
          <w:r>
            <w:instrText xml:space="preserve"> PAGEREF _Toc10256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3C9FEF2C"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_Toc27951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21"/>
              <w:lang w:val="en-US" w:eastAsia="zh-CN"/>
            </w:rPr>
            <w:t>4.5) Automatically calculate and add PC</w:t>
          </w:r>
          <w:r>
            <w:tab/>
          </w:r>
          <w:r>
            <w:fldChar w:fldCharType="begin"/>
          </w:r>
          <w:r>
            <w:instrText xml:space="preserve"> PAGEREF _Toc27951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09E64EB0">
          <w:pPr>
            <w:pStyle w:val="8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_Toc14638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5.</w:t>
          </w:r>
          <w:r>
            <w:rPr>
              <w:rFonts w:hint="default" w:ascii="Arial" w:hAnsi="Arial" w:eastAsia="宋体" w:cs="Arial"/>
              <w:szCs w:val="32"/>
              <w:lang w:val="en-US" w:eastAsia="zh-CN"/>
            </w:rPr>
            <w:t>Setting</w:t>
          </w:r>
          <w:r>
            <w:tab/>
          </w:r>
          <w:r>
            <w:fldChar w:fldCharType="begin"/>
          </w:r>
          <w:r>
            <w:instrText xml:space="preserve"> PAGEREF _Toc14638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03C579FA">
          <w:pPr>
            <w:rPr>
              <w:rFonts w:hint="default" w:ascii="Arial" w:hAnsi="Arial" w:eastAsia="宋体" w:cs="Arial"/>
              <w:sz w:val="21"/>
              <w:szCs w:val="21"/>
            </w:rPr>
          </w:pP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</w:sdtContent>
    </w:sdt>
    <w:p w14:paraId="51BA8A25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264E26FC">
      <w:pPr>
        <w:pStyle w:val="3"/>
        <w:outlineLvl w:val="0"/>
        <w:rPr>
          <w:rFonts w:hint="default" w:ascii="Arial" w:hAnsi="Arial" w:eastAsia="宋体" w:cs="Arial"/>
          <w:sz w:val="32"/>
          <w:szCs w:val="32"/>
        </w:rPr>
      </w:pPr>
      <w:bookmarkStart w:id="2" w:name="_Toc836826872"/>
      <w:bookmarkStart w:id="3" w:name="_Toc30055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1</w:t>
      </w:r>
      <w:bookmarkEnd w:id="2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.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Operating environment</w:t>
      </w:r>
      <w:bookmarkEnd w:id="3"/>
    </w:p>
    <w:p w14:paraId="191F5C29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This software supports systems: Windows2000, Windows XP, Windows 7, Windows 8, Windows 10, Windows 2003 and higher systems.</w:t>
      </w:r>
    </w:p>
    <w:p w14:paraId="20993359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Applicable environment: supports USB, RS232</w:t>
      </w:r>
    </w:p>
    <w:p w14:paraId="1C1D96C0">
      <w:pPr>
        <w:rPr>
          <w:rFonts w:hint="default" w:ascii="Arial" w:hAnsi="Arial" w:eastAsia="宋体" w:cs="Arial"/>
          <w:color w:val="FF0000"/>
          <w:sz w:val="21"/>
          <w:szCs w:val="21"/>
        </w:rPr>
      </w:pPr>
      <w:r>
        <w:rPr>
          <w:rFonts w:hint="default" w:ascii="Arial" w:hAnsi="Arial" w:eastAsia="宋体" w:cs="Arial"/>
          <w:color w:val="FF0000"/>
          <w:sz w:val="21"/>
          <w:szCs w:val="21"/>
        </w:rPr>
        <w:t>Note: Please turn off all firewalls on your computer when using this host computer.</w:t>
      </w:r>
      <w:r>
        <w:rPr>
          <w:rFonts w:hint="default" w:ascii="Arial" w:hAnsi="Arial" w:eastAsia="宋体" w:cs="Arial"/>
          <w:color w:val="FF0000"/>
          <w:sz w:val="21"/>
          <w:szCs w:val="21"/>
        </w:rPr>
        <w:br w:type="page"/>
      </w:r>
    </w:p>
    <w:p w14:paraId="401CDCFA">
      <w:pPr>
        <w:pStyle w:val="3"/>
        <w:outlineLvl w:val="0"/>
        <w:rPr>
          <w:rFonts w:hint="default" w:ascii="Arial" w:hAnsi="Arial" w:eastAsia="宋体" w:cs="Arial"/>
          <w:sz w:val="32"/>
          <w:szCs w:val="32"/>
          <w:lang w:val="en-US"/>
        </w:rPr>
      </w:pPr>
      <w:bookmarkStart w:id="4" w:name="_Toc409410131"/>
      <w:bookmarkStart w:id="5" w:name="_Toc29830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2</w:t>
      </w:r>
      <w:bookmarkEnd w:id="4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.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Connect Reader</w:t>
      </w:r>
      <w:bookmarkEnd w:id="5"/>
    </w:p>
    <w:p w14:paraId="20BB9046">
      <w:pPr>
        <w:pStyle w:val="15"/>
        <w:ind w:left="420" w:firstLine="0" w:firstLineChars="0"/>
        <w:rPr>
          <w:rFonts w:hint="default" w:ascii="Arial" w:hAnsi="Arial" w:eastAsia="宋体" w:cs="Arial"/>
          <w:sz w:val="21"/>
          <w:szCs w:val="21"/>
        </w:rPr>
      </w:pPr>
    </w:p>
    <w:p w14:paraId="34E1DE0C">
      <w:pPr>
        <w:pStyle w:val="15"/>
        <w:ind w:left="420" w:firstLine="0"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263515" cy="276860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3379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Double-click Desk Reader.exe to start the software</w:t>
      </w:r>
    </w:p>
    <w:p w14:paraId="60B6C8D2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Click to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“connect reader”</w:t>
      </w:r>
      <w:r>
        <w:rPr>
          <w:rFonts w:hint="default" w:ascii="Arial" w:hAnsi="Arial" w:eastAsia="宋体" w:cs="Arial"/>
          <w:sz w:val="21"/>
          <w:szCs w:val="21"/>
        </w:rPr>
        <w:t xml:space="preserve"> (Figure 1-1), the connection form will pop up (Figure 1-2), at this time, we can choose USB connection or RS232 connection</w:t>
      </w:r>
    </w:p>
    <w:p w14:paraId="0C3CF05D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Click on Figure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2</w:t>
      </w:r>
      <w:r>
        <w:rPr>
          <w:rFonts w:hint="default" w:ascii="Arial" w:hAnsi="Arial" w:eastAsia="宋体" w:cs="Arial"/>
          <w:sz w:val="21"/>
          <w:szCs w:val="21"/>
        </w:rPr>
        <w:t>-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1</w:t>
      </w:r>
      <w:r>
        <w:rPr>
          <w:rFonts w:hint="default" w:ascii="Arial" w:hAnsi="Arial" w:eastAsia="宋体" w:cs="Arial"/>
          <w:sz w:val="21"/>
          <w:szCs w:val="21"/>
        </w:rPr>
        <w:t xml:space="preserve"> to switch languages. Currently, only Chinese and English are supported.</w:t>
      </w:r>
    </w:p>
    <w:p w14:paraId="397A212F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4B3CAB36">
      <w:pPr>
        <w:pStyle w:val="3"/>
        <w:numPr>
          <w:ilvl w:val="0"/>
          <w:numId w:val="0"/>
        </w:numPr>
        <w:outlineLvl w:val="0"/>
        <w:rPr>
          <w:rFonts w:hint="default" w:ascii="Arial" w:hAnsi="Arial" w:eastAsia="宋体" w:cs="Arial"/>
          <w:sz w:val="32"/>
          <w:szCs w:val="32"/>
        </w:rPr>
      </w:pPr>
      <w:bookmarkStart w:id="6" w:name="_Toc4993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3.</w:t>
      </w:r>
      <w:r>
        <w:rPr>
          <w:rFonts w:hint="default" w:ascii="Arial" w:hAnsi="Arial" w:eastAsia="宋体" w:cs="Arial"/>
          <w:sz w:val="32"/>
          <w:szCs w:val="32"/>
        </w:rPr>
        <w:t>Query</w:t>
      </w:r>
      <w:bookmarkEnd w:id="6"/>
    </w:p>
    <w:p w14:paraId="0857A564">
      <w:pPr>
        <w:numPr>
          <w:ilvl w:val="0"/>
          <w:numId w:val="0"/>
        </w:num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901055" cy="31248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3EDC">
      <w:pPr>
        <w:pStyle w:val="15"/>
        <w:ind w:left="420" w:firstLine="0" w:firstLineChars="0"/>
        <w:rPr>
          <w:rFonts w:hint="default" w:ascii="Arial" w:hAnsi="Arial" w:eastAsia="宋体" w:cs="Arial"/>
          <w:sz w:val="21"/>
          <w:szCs w:val="21"/>
        </w:rPr>
      </w:pPr>
    </w:p>
    <w:p w14:paraId="19EA68E3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After the connection is successful, the icon of the connected card reader will change to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“</w:t>
      </w:r>
      <w:r>
        <w:rPr>
          <w:rFonts w:hint="default" w:ascii="Arial" w:hAnsi="Arial" w:eastAsia="宋体" w:cs="Arial"/>
          <w:sz w:val="21"/>
          <w:szCs w:val="21"/>
        </w:rPr>
        <w:t>disconnected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 xml:space="preserve"> reader”</w:t>
      </w:r>
      <w:r>
        <w:rPr>
          <w:rFonts w:hint="default" w:ascii="Arial" w:hAnsi="Arial" w:eastAsia="宋体" w:cs="Arial"/>
          <w:sz w:val="21"/>
          <w:szCs w:val="21"/>
        </w:rPr>
        <w:t xml:space="preserve"> (Figure 1-1)</w:t>
      </w:r>
    </w:p>
    <w:p w14:paraId="0FB733B1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The status bar at the bottom of the interface displays the firmware version, hardware version, current time and other information of the connected card reader (Figure 2-1); the lower right corner is the operation log (Figure 2-2)</w:t>
      </w:r>
    </w:p>
    <w:p w14:paraId="10B43BCB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We can set reader parameters before querying (Figure 3-1)</w:t>
      </w:r>
    </w:p>
    <w:p w14:paraId="3D7813A4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the START button (Figure 4-1) to start the query, and the query results will be displayed in Figure 4-2</w:t>
      </w: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14C4B27D">
      <w:pPr>
        <w:pStyle w:val="3"/>
        <w:outlineLvl w:val="0"/>
        <w:rPr>
          <w:rFonts w:hint="default" w:ascii="Arial" w:hAnsi="Arial" w:eastAsia="宋体" w:cs="Arial"/>
          <w:sz w:val="32"/>
          <w:szCs w:val="32"/>
        </w:rPr>
      </w:pPr>
      <w:bookmarkStart w:id="7" w:name="_Toc380446908"/>
      <w:bookmarkStart w:id="8" w:name="_Toc2743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4</w:t>
      </w:r>
      <w:bookmarkEnd w:id="7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.</w:t>
      </w:r>
      <w:r>
        <w:rPr>
          <w:rFonts w:hint="default" w:ascii="Arial" w:hAnsi="Arial" w:eastAsia="宋体" w:cs="Arial"/>
          <w:sz w:val="32"/>
          <w:szCs w:val="32"/>
        </w:rPr>
        <w:t>Read and write</w:t>
      </w:r>
      <w:bookmarkEnd w:id="8"/>
    </w:p>
    <w:p w14:paraId="2CEC55D7">
      <w:pPr>
        <w:pStyle w:val="4"/>
        <w:outlineLvl w:val="1"/>
        <w:rPr>
          <w:rFonts w:hint="default" w:ascii="Arial" w:hAnsi="Arial" w:eastAsia="宋体" w:cs="Arial"/>
          <w:sz w:val="21"/>
          <w:szCs w:val="21"/>
        </w:rPr>
      </w:pPr>
      <w:bookmarkStart w:id="9" w:name="_Toc728952785"/>
      <w:bookmarkStart w:id="10" w:name="_Toc27922"/>
      <w:r>
        <w:rPr>
          <w:rFonts w:hint="default" w:ascii="Arial" w:hAnsi="Arial" w:eastAsia="宋体" w:cs="Arial"/>
          <w:sz w:val="21"/>
          <w:szCs w:val="21"/>
        </w:rPr>
        <w:t xml:space="preserve">4.1) </w:t>
      </w:r>
      <w:bookmarkEnd w:id="9"/>
      <w:r>
        <w:rPr>
          <w:rFonts w:hint="default" w:ascii="Arial" w:hAnsi="Arial" w:eastAsia="宋体" w:cs="Arial"/>
          <w:sz w:val="21"/>
          <w:szCs w:val="21"/>
        </w:rPr>
        <w:t>Read and write tags</w:t>
      </w:r>
      <w:bookmarkEnd w:id="10"/>
    </w:p>
    <w:p w14:paraId="0DEBA29C">
      <w:pPr>
        <w:pStyle w:val="15"/>
        <w:ind w:left="420" w:firstLine="0"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727700" cy="3028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3333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Before reading and writing tags, we can set the tags in the area in Figure 1-1.</w:t>
      </w:r>
    </w:p>
    <w:p w14:paraId="7D67E3BA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on Figure 1-2 to perform tag reading and writing operations</w:t>
      </w:r>
    </w:p>
    <w:p w14:paraId="547875A5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Read tag: Select the tag in Figure 1-4 to perform the read operation. If successful, the tag information will be displayed in the area of Figure 1-3; if no specific tag is selected in Figure 1-4, the read operation can also be performed. At this time, the read and write operations are successful except In addition to being displayed in the area of Figure 1-3, it will also determine whether the label exists in Figure 1-4. If it exists, it will be automatically checked, and the data column will be assigned to the data writing text box.</w:t>
      </w:r>
    </w:p>
    <w:p w14:paraId="7417FBB3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Write tag: Select the tag in Figure 1-4 to perform the write operation. After successfully writing the tag, the tag information will be displayed in the area of Figure 1-3.</w:t>
      </w:r>
    </w:p>
    <w:p w14:paraId="1F7C2550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Reading and writing fail. Figure 1-5 will display the specific error message.</w:t>
      </w: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72B709C8">
      <w:pPr>
        <w:pStyle w:val="4"/>
        <w:rPr>
          <w:rFonts w:hint="default" w:ascii="Arial" w:hAnsi="Arial" w:eastAsia="宋体" w:cs="Arial"/>
          <w:sz w:val="21"/>
          <w:szCs w:val="21"/>
        </w:rPr>
      </w:pPr>
      <w:bookmarkStart w:id="11" w:name="_Toc1590019852"/>
      <w:bookmarkStart w:id="12" w:name="_Toc24763"/>
      <w:r>
        <w:rPr>
          <w:rFonts w:hint="default" w:ascii="Arial" w:hAnsi="Arial" w:eastAsia="宋体" w:cs="Arial"/>
          <w:sz w:val="21"/>
          <w:szCs w:val="21"/>
        </w:rPr>
        <w:t xml:space="preserve">4.2) </w:t>
      </w:r>
      <w:bookmarkEnd w:id="11"/>
      <w:r>
        <w:rPr>
          <w:rFonts w:hint="default" w:ascii="Arial" w:hAnsi="Arial" w:eastAsia="宋体" w:cs="Arial"/>
          <w:sz w:val="21"/>
          <w:szCs w:val="21"/>
        </w:rPr>
        <w:t xml:space="preserve">Write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tag</w:t>
      </w:r>
      <w:r>
        <w:rPr>
          <w:rFonts w:hint="default" w:ascii="Arial" w:hAnsi="Arial" w:eastAsia="宋体" w:cs="Arial"/>
          <w:sz w:val="21"/>
          <w:szCs w:val="21"/>
        </w:rPr>
        <w:t>s in batches</w:t>
      </w:r>
      <w:bookmarkEnd w:id="12"/>
    </w:p>
    <w:p w14:paraId="58C8F6C8">
      <w:pPr>
        <w:ind w:left="42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272405" cy="22371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CC83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Clicking the batch card reading button will pop up the small window shown above. We can batch write cards through this form.</w:t>
      </w:r>
    </w:p>
    <w:p w14:paraId="1AC7E9A0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Set the relevant information in Figure 1-1, where the write interval indicates how many seconds to rest before performing a write operation every time a card is successfully written.</w:t>
      </w:r>
    </w:p>
    <w:p w14:paraId="311F1265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Start Writing (Figure 1-2) to start writing cards in batches. At this time, the button text will change to Stop Writing. Click the button again to stop the operation.</w:t>
      </w:r>
    </w:p>
    <w:p w14:paraId="20BC20B0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The writing information will be displayed in Figure 1-3. Regardless of success or failure, the attempt will be repeated (the failed attempt interval is fixed at 2s, regardless of the writing interval)</w:t>
      </w: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08C3D203">
      <w:pPr>
        <w:pStyle w:val="4"/>
        <w:rPr>
          <w:rFonts w:hint="default" w:ascii="Arial" w:hAnsi="Arial" w:eastAsia="宋体" w:cs="Arial"/>
          <w:sz w:val="21"/>
          <w:szCs w:val="21"/>
        </w:rPr>
      </w:pPr>
      <w:bookmarkStart w:id="13" w:name="_Toc680626884"/>
      <w:bookmarkStart w:id="14" w:name="_Toc7555"/>
      <w:r>
        <w:rPr>
          <w:rFonts w:hint="default" w:ascii="Arial" w:hAnsi="Arial" w:eastAsia="宋体" w:cs="Arial"/>
          <w:sz w:val="21"/>
          <w:szCs w:val="21"/>
        </w:rPr>
        <w:t xml:space="preserve">4.3) </w:t>
      </w:r>
      <w:bookmarkEnd w:id="13"/>
      <w:r>
        <w:rPr>
          <w:rFonts w:hint="default" w:ascii="Arial" w:hAnsi="Arial" w:eastAsia="宋体" w:cs="Arial"/>
          <w:sz w:val="21"/>
          <w:szCs w:val="21"/>
        </w:rPr>
        <w:t>lock tag</w:t>
      </w:r>
      <w:bookmarkEnd w:id="14"/>
    </w:p>
    <w:p w14:paraId="1514B18F">
      <w:pPr>
        <w:ind w:left="420"/>
        <w:rPr>
          <w:rFonts w:hint="default" w:ascii="Arial" w:hAnsi="Arial" w:eastAsia="宋体" w:cs="Arial"/>
          <w:sz w:val="21"/>
          <w:szCs w:val="21"/>
        </w:rPr>
      </w:pPr>
    </w:p>
    <w:p w14:paraId="0E9492B5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6029960" cy="31959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5900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Select the label we want to operate in the area in Figure 1-1</w:t>
      </w:r>
    </w:p>
    <w:p w14:paraId="4D3A186A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Edit the content of the operation label in Figure 1-2</w:t>
      </w:r>
    </w:p>
    <w:p w14:paraId="320238F5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to lock the label (Figure 1-3), and the system will perform corresponding operations on the label based on the content in Figure 1-2. If successful, the information in Figure 1-4 will be displayed. Otherwise, please pay attention to Figure 1-5 below. error message</w:t>
      </w: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59EFF9AB">
      <w:pPr>
        <w:pStyle w:val="4"/>
        <w:rPr>
          <w:rFonts w:hint="default" w:ascii="Arial" w:hAnsi="Arial" w:eastAsia="宋体" w:cs="Arial"/>
          <w:sz w:val="21"/>
          <w:szCs w:val="21"/>
        </w:rPr>
      </w:pPr>
      <w:bookmarkStart w:id="15" w:name="_Toc1811455363"/>
      <w:bookmarkStart w:id="16" w:name="_Toc10256"/>
      <w:r>
        <w:rPr>
          <w:rFonts w:hint="default" w:ascii="Arial" w:hAnsi="Arial" w:eastAsia="宋体" w:cs="Arial"/>
          <w:sz w:val="21"/>
          <w:szCs w:val="21"/>
        </w:rPr>
        <w:t xml:space="preserve">4.4) </w:t>
      </w:r>
      <w:bookmarkEnd w:id="15"/>
      <w:r>
        <w:rPr>
          <w:rFonts w:hint="default" w:ascii="Arial" w:hAnsi="Arial" w:eastAsia="宋体" w:cs="Arial"/>
          <w:sz w:val="21"/>
          <w:szCs w:val="21"/>
          <w:lang w:val="en-US" w:eastAsia="zh-CN"/>
        </w:rPr>
        <w:t>Kill</w:t>
      </w:r>
      <w:r>
        <w:rPr>
          <w:rFonts w:hint="default" w:ascii="Arial" w:hAnsi="Arial" w:eastAsia="宋体" w:cs="Arial"/>
          <w:sz w:val="21"/>
          <w:szCs w:val="21"/>
        </w:rPr>
        <w:t xml:space="preserve"> tag</w:t>
      </w:r>
      <w:bookmarkEnd w:id="16"/>
    </w:p>
    <w:p w14:paraId="3EFDAA59">
      <w:pPr>
        <w:ind w:left="42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768975" cy="305117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E416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Select the tag to be inactivated in Figure 1-1</w:t>
      </w:r>
    </w:p>
    <w:p w14:paraId="7E8DD855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After entering the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kill</w:t>
      </w:r>
      <w:r>
        <w:rPr>
          <w:rFonts w:hint="default" w:ascii="Arial" w:hAnsi="Arial" w:eastAsia="宋体" w:cs="Arial"/>
          <w:sz w:val="21"/>
          <w:szCs w:val="21"/>
        </w:rPr>
        <w:t xml:space="preserve"> password, click the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kill</w:t>
      </w:r>
      <w:r>
        <w:rPr>
          <w:rFonts w:hint="default" w:ascii="Arial" w:hAnsi="Arial" w:eastAsia="宋体" w:cs="Arial"/>
          <w:sz w:val="21"/>
          <w:szCs w:val="21"/>
        </w:rPr>
        <w:t xml:space="preserve"> tab to perform the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kill</w:t>
      </w:r>
      <w:r>
        <w:rPr>
          <w:rFonts w:hint="default" w:ascii="Arial" w:hAnsi="Arial" w:eastAsia="宋体" w:cs="Arial"/>
          <w:sz w:val="21"/>
          <w:szCs w:val="21"/>
        </w:rPr>
        <w:t xml:space="preserve"> operation (Figure 1-2). If successful, the information will be displayed in the 1-3 area. Otherwise, you can leave the error message 1-4.</w:t>
      </w:r>
    </w:p>
    <w:p w14:paraId="37ED1ED8">
      <w:pPr>
        <w:pStyle w:val="15"/>
        <w:numPr>
          <w:ilvl w:val="2"/>
          <w:numId w:val="2"/>
        </w:numPr>
        <w:ind w:firstLine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color w:val="FF0000"/>
          <w:sz w:val="21"/>
          <w:szCs w:val="21"/>
        </w:rPr>
        <w:t xml:space="preserve">Tags cannot be restored after being </w:t>
      </w:r>
      <w:r>
        <w:rPr>
          <w:rFonts w:hint="default" w:ascii="Arial" w:hAnsi="Arial" w:eastAsia="宋体" w:cs="Arial"/>
          <w:color w:val="FF0000"/>
          <w:sz w:val="21"/>
          <w:szCs w:val="21"/>
          <w:lang w:val="en-US" w:eastAsia="zh-CN"/>
        </w:rPr>
        <w:t>killed</w:t>
      </w:r>
      <w:bookmarkStart w:id="17" w:name="_Toc30384"/>
    </w:p>
    <w:p w14:paraId="2BAB4F08">
      <w:pPr>
        <w:pStyle w:val="4"/>
        <w:rPr>
          <w:rFonts w:hint="eastAsia" w:ascii="华文宋体" w:hAnsi="华文宋体" w:eastAsia="华文宋体"/>
          <w:lang w:val="en-US" w:eastAsia="zh-CN"/>
        </w:rPr>
      </w:pPr>
      <w:bookmarkStart w:id="18" w:name="_Toc27951"/>
      <w:r>
        <w:rPr>
          <w:rFonts w:hint="eastAsia" w:ascii="Arial" w:hAnsi="Arial" w:eastAsia="宋体" w:cs="Arial"/>
          <w:sz w:val="21"/>
          <w:szCs w:val="21"/>
          <w:lang w:val="en-US" w:eastAsia="zh-CN"/>
        </w:rPr>
        <w:t xml:space="preserve">4.5) </w:t>
      </w:r>
      <w:bookmarkEnd w:id="17"/>
      <w:r>
        <w:rPr>
          <w:rFonts w:hint="eastAsia" w:ascii="Arial" w:hAnsi="Arial" w:eastAsia="宋体" w:cs="Arial"/>
          <w:sz w:val="21"/>
          <w:szCs w:val="21"/>
          <w:lang w:val="en-US" w:eastAsia="zh-CN"/>
        </w:rPr>
        <w:t>Automatically calculate and add PC</w:t>
      </w:r>
      <w:bookmarkEnd w:id="18"/>
    </w:p>
    <w:p w14:paraId="2DE6377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753995"/>
            <wp:effectExtent l="0" t="0" r="10160" b="8255"/>
            <wp:docPr id="10" name="图片 10" descr="9d7f8dd0576f90a7e985d3c41e6a27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d7f8dd0576f90a7e985d3c41e6a27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1121">
      <w:pPr>
        <w:pStyle w:val="15"/>
        <w:numPr>
          <w:ilvl w:val="0"/>
          <w:numId w:val="2"/>
        </w:numPr>
        <w:ind w:left="860" w:leftChars="0" w:firstLineChars="0"/>
        <w:rPr>
          <w:rFonts w:hint="default" w:ascii="Arial" w:hAnsi="Arial" w:eastAsia="华文宋体" w:cs="Arial"/>
          <w:lang w:val="en-US" w:eastAsia="zh-CN"/>
        </w:rPr>
      </w:pPr>
      <w:r>
        <w:rPr>
          <w:rFonts w:hint="default" w:ascii="Arial" w:hAnsi="Arial" w:eastAsia="华文宋体" w:cs="Arial"/>
          <w:lang w:val="en-US" w:eastAsia="zh-CN"/>
        </w:rPr>
        <w:t>Automatically calculate and add PC</w:t>
      </w:r>
    </w:p>
    <w:p w14:paraId="7D53FDFD">
      <w:pPr>
        <w:pStyle w:val="15"/>
        <w:numPr>
          <w:ilvl w:val="0"/>
          <w:numId w:val="2"/>
        </w:numPr>
        <w:ind w:left="860" w:leftChars="0" w:firstLineChars="0"/>
        <w:rPr>
          <w:rFonts w:hint="default" w:ascii="Arial" w:hAnsi="Arial" w:eastAsia="华文宋体" w:cs="Arial"/>
          <w:lang w:val="en-US" w:eastAsia="zh-CN"/>
        </w:rPr>
      </w:pPr>
      <w:r>
        <w:rPr>
          <w:rFonts w:hint="default" w:ascii="Arial" w:hAnsi="Arial" w:eastAsia="华文宋体" w:cs="Arial"/>
          <w:lang w:val="en-US" w:eastAsia="zh-CN"/>
        </w:rPr>
        <w:t>If want to modify the data to 16 bytes, one WORD equals two bytes, so you need to configure the data length (WORD) to 8.</w:t>
      </w:r>
    </w:p>
    <w:p w14:paraId="43467808">
      <w:pPr>
        <w:pStyle w:val="15"/>
        <w:numPr>
          <w:ilvl w:val="0"/>
          <w:numId w:val="2"/>
        </w:numPr>
        <w:ind w:left="860" w:leftChars="0" w:firstLineChars="0"/>
        <w:rPr>
          <w:rFonts w:hint="default" w:ascii="Arial" w:hAnsi="Arial" w:eastAsia="华文宋体" w:cs="Arial"/>
          <w:lang w:val="en-US" w:eastAsia="zh-CN"/>
        </w:rPr>
      </w:pPr>
      <w:r>
        <w:rPr>
          <w:rFonts w:hint="default" w:ascii="Arial" w:hAnsi="Arial" w:eastAsia="华文宋体" w:cs="Arial"/>
          <w:lang w:val="en-US" w:eastAsia="zh-CN"/>
        </w:rPr>
        <w:t>Data writing position, fill in 16 bytes of data, and then write the tag</w:t>
      </w:r>
    </w:p>
    <w:p w14:paraId="5375A33B">
      <w:pPr>
        <w:pStyle w:val="15"/>
        <w:numPr>
          <w:ilvl w:val="0"/>
          <w:numId w:val="2"/>
        </w:numPr>
        <w:ind w:left="860" w:leftChars="0" w:firstLineChars="0"/>
        <w:rPr>
          <w:rFonts w:hint="default" w:ascii="Arial" w:hAnsi="Arial" w:eastAsia="华文宋体" w:cs="Arial"/>
          <w:lang w:val="en-US" w:eastAsia="zh-CN"/>
        </w:rPr>
      </w:pPr>
      <w:r>
        <w:rPr>
          <w:rFonts w:hint="default" w:ascii="Arial" w:hAnsi="Arial" w:eastAsia="华文宋体" w:cs="Arial"/>
          <w:lang w:val="en-US" w:eastAsia="zh-CN"/>
        </w:rPr>
        <w:t>After the writing is successful, read it and you will find that the EPC card number becomes 16 Byte data</w:t>
      </w:r>
    </w:p>
    <w:p w14:paraId="7E3C0CF4">
      <w:pPr>
        <w:rPr>
          <w:rFonts w:hint="default" w:ascii="Arial" w:hAnsi="Arial" w:eastAsia="宋体" w:cs="Arial"/>
          <w:color w:val="FF0000"/>
          <w:sz w:val="21"/>
          <w:szCs w:val="21"/>
        </w:rPr>
      </w:pPr>
      <w:r>
        <w:rPr>
          <w:rFonts w:hint="default" w:ascii="Arial" w:hAnsi="Arial" w:eastAsia="宋体" w:cs="Arial"/>
          <w:color w:val="FF0000"/>
          <w:sz w:val="21"/>
          <w:szCs w:val="21"/>
        </w:rPr>
        <w:br w:type="page"/>
      </w:r>
    </w:p>
    <w:p w14:paraId="5C68B77C">
      <w:pPr>
        <w:pStyle w:val="3"/>
        <w:outlineLvl w:val="0"/>
        <w:rPr>
          <w:rFonts w:hint="default" w:ascii="Arial" w:hAnsi="Arial" w:eastAsia="宋体" w:cs="Arial"/>
          <w:sz w:val="32"/>
          <w:szCs w:val="32"/>
          <w:lang w:val="en-US" w:eastAsia="zh-CN"/>
        </w:rPr>
      </w:pPr>
      <w:bookmarkStart w:id="19" w:name="_Toc1915472326"/>
      <w:bookmarkStart w:id="20" w:name="_Toc14638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5</w:t>
      </w:r>
      <w:bookmarkEnd w:id="19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.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Setting</w:t>
      </w:r>
      <w:bookmarkEnd w:id="20"/>
    </w:p>
    <w:p w14:paraId="47EC2E39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655945" cy="28321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3E04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Through the area in Figure 1-1, we can set the reader’s working frequency band, starting frequency and other information</w:t>
      </w:r>
    </w:p>
    <w:p w14:paraId="004D6E4E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Click the Get (Figure 1-2) button to obtain the parameters; click the Set (Figure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2</w:t>
      </w:r>
      <w:r>
        <w:rPr>
          <w:rFonts w:hint="default" w:ascii="Arial" w:hAnsi="Arial" w:eastAsia="宋体" w:cs="Arial"/>
          <w:sz w:val="21"/>
          <w:szCs w:val="21"/>
        </w:rPr>
        <w:t>-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1</w:t>
      </w:r>
      <w:r>
        <w:rPr>
          <w:rFonts w:hint="default" w:ascii="Arial" w:hAnsi="Arial" w:eastAsia="宋体" w:cs="Arial"/>
          <w:sz w:val="21"/>
          <w:szCs w:val="21"/>
        </w:rPr>
        <w:t>) button to set the parameters</w:t>
      </w:r>
    </w:p>
    <w:p w14:paraId="7A27D19D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Initialize (Figure 2-1) to send initialization instructions to the reade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r</w:t>
      </w: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273675" cy="1035050"/>
            <wp:effectExtent l="0" t="0" r="317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0C06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Set Wiegand, </w:t>
      </w:r>
    </w:p>
    <w:p w14:paraId="4FDB5ED2">
      <w:pPr>
        <w:pStyle w:val="15"/>
        <w:numPr>
          <w:ilvl w:val="0"/>
          <w:numId w:val="0"/>
        </w:numPr>
        <w:ind w:left="420" w:left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where direct conversion means the output format is decimal;</w:t>
      </w:r>
    </w:p>
    <w:p w14:paraId="6B815466">
      <w:pPr>
        <w:pStyle w:val="15"/>
        <w:numPr>
          <w:ilvl w:val="0"/>
          <w:numId w:val="0"/>
        </w:numPr>
        <w:ind w:left="420" w:left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The standard representation output format is WG26--2H+4H, WG34--4H+4H;</w:t>
      </w:r>
    </w:p>
    <w:p w14:paraId="61ECE387">
      <w:pPr>
        <w:pStyle w:val="15"/>
        <w:numPr>
          <w:ilvl w:val="0"/>
          <w:numId w:val="0"/>
        </w:numPr>
        <w:ind w:left="420" w:left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HEX means the output format is HEX.</w:t>
      </w:r>
    </w:p>
    <w:p w14:paraId="2B2295B3">
      <w:pPr>
        <w:pStyle w:val="15"/>
        <w:numPr>
          <w:ilvl w:val="0"/>
          <w:numId w:val="0"/>
        </w:numPr>
        <w:ind w:left="1680" w:leftChars="0" w:firstLine="420" w:firstLineChars="0"/>
        <w:rPr>
          <w:rFonts w:hint="default" w:ascii="Arial" w:hAnsi="Arial" w:eastAsia="宋体"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77F41"/>
    <w:multiLevelType w:val="multilevel"/>
    <w:tmpl w:val="23A77F41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1">
    <w:nsid w:val="3C0D7C4C"/>
    <w:multiLevelType w:val="multilevel"/>
    <w:tmpl w:val="3C0D7C4C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JiMjJkZWFjMjJlNGJhZjA0MWVjZjc2ODhlNzQ4YTkifQ=="/>
  </w:docVars>
  <w:rsids>
    <w:rsidRoot w:val="00513FC4"/>
    <w:rsid w:val="000A2F8D"/>
    <w:rsid w:val="00197FB8"/>
    <w:rsid w:val="003B287F"/>
    <w:rsid w:val="003C488B"/>
    <w:rsid w:val="004C12F4"/>
    <w:rsid w:val="00513FC4"/>
    <w:rsid w:val="008E56DA"/>
    <w:rsid w:val="00AD4FF7"/>
    <w:rsid w:val="00D3475F"/>
    <w:rsid w:val="00DD40FF"/>
    <w:rsid w:val="11FF77C5"/>
    <w:rsid w:val="22CFA931"/>
    <w:rsid w:val="43E903E4"/>
    <w:rsid w:val="60B25381"/>
    <w:rsid w:val="63586E8C"/>
    <w:rsid w:val="667F2F19"/>
    <w:rsid w:val="77E8F80C"/>
    <w:rsid w:val="7B7F7034"/>
    <w:rsid w:val="7B8664E0"/>
    <w:rsid w:val="7BFA93F7"/>
    <w:rsid w:val="7DD41A46"/>
    <w:rsid w:val="7F6E02BA"/>
    <w:rsid w:val="7FE9126B"/>
    <w:rsid w:val="7FFE9287"/>
    <w:rsid w:val="A5D34FE2"/>
    <w:rsid w:val="EEB57E90"/>
    <w:rsid w:val="FD6B1720"/>
    <w:rsid w:val="FD77B81B"/>
    <w:rsid w:val="FF6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</w:style>
  <w:style w:type="paragraph" w:styleId="9">
    <w:name w:val="toc 2"/>
    <w:basedOn w:val="1"/>
    <w:next w:val="1"/>
    <w:autoRedefine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1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782</Words>
  <Characters>3860</Characters>
  <Lines>13</Lines>
  <Paragraphs>3</Paragraphs>
  <TotalTime>0</TotalTime>
  <ScaleCrop>false</ScaleCrop>
  <LinksUpToDate>false</LinksUpToDate>
  <CharactersWithSpaces>4605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2023-09-15T01:11:00Z</dcterms:created>
  <dc:creator>CN Lin</dc:creator>
  <cp:lastModifiedBy>死不瞑目的怨念凝视</cp:lastModifiedBy>
  <dcterms:modified xsi:type="dcterms:W3CDTF">2024-12-30T09:32:37Z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D30377E53E8F4B28B5497526367A75EA_12</vt:lpwstr>
  </property>
  <property fmtid="{D5CDD505-2E9C-101B-9397-08002B2CF9AE}" pid="4" name="KSOTemplateDocerSaveRecord">
    <vt:lpwstr>eyJoZGlkIjoiYTUzN2ZiMjI3YTU4M2NlNjkzNTlkOWRlNDIyODQ4YWQiLCJ1c2VySWQiOiIyNDYyNDc5MjUifQ==</vt:lpwstr>
  </property>
</Properties>
</file>