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Kodeks odpowiedzialnego sprawowania mandatu</w:t>
      </w:r>
    </w:p>
    <w:p>
      <w:pPr>
        <w:jc w:val="center"/>
      </w:pPr>
      <w:r>
        <w:rPr>
          <w:i/>
        </w:rPr>
        <w:t>Spółdzielnia Mieszkaniowa „Doły-Marysińska” w Łodzi</w:t>
      </w:r>
    </w:p>
    <w:p>
      <w:r>
        <w:rPr>
          <w:b/>
        </w:rPr>
        <w:t>PROJEKT ROBOCZY — do dyskusji i weryfikacji prawnej</w:t>
      </w:r>
    </w:p>
    <w:p>
      <w:r>
        <w:rPr>
          <w:b/>
        </w:rPr>
        <w:t xml:space="preserve">UWAGA: </w:t>
      </w:r>
      <w:r>
        <w:t>Projekt powstał przez przebudowę pierwotnego Kodeksu Etyki Organów Spółdzielni. Przed przyjęciem wymaga weryfikacji przez radcę prawnego Spółdzielni oraz sprawdzenia zgodności ze Statutem i regulaminami organów.</w:t>
      </w:r>
    </w:p>
    <w:p>
      <w:pPr>
        <w:pStyle w:val="Heading1"/>
      </w:pPr>
      <w:r>
        <w:t>Preambuła</w:t>
      </w:r>
    </w:p>
    <w:p>
      <w:r>
        <w:t>Członkowie Rady Nadzorczej i Zarządu pełnią swoje funkcje w interesie Spółdzielni i z poszanowaniem praw jej członków. Celem Kodeksu jest ustanowienie wspólnego standardu odpowiedzialnego, przejrzystego i profesjonalnego wykonywania mandatu.</w:t>
      </w:r>
    </w:p>
    <w:p>
      <w:r>
        <w:t>Kodeks nie zmienia kompetencji organów i nie tworzy nowych uprawnień. W razie sprzeczności pierwszeństwo mają przepisy prawa, Statut, regulaminy organów oraz uchwały podjęte w granicach kompetencji.</w:t>
      </w:r>
    </w:p>
    <w:p>
      <w:pPr>
        <w:pStyle w:val="Heading2"/>
      </w:pPr>
      <w:r>
        <w:t>§ 1. Zakres i charakter Kodeksu</w:t>
      </w:r>
    </w:p>
    <w:p>
      <w:r>
        <w:t>1. Kodeks stosuje się do członków Rady Nadzorczej oraz Zarządu.</w:t>
      </w:r>
    </w:p>
    <w:p>
      <w:r>
        <w:t>2. Kodeks określa standard zachowania i podejmowania decyzji. Szczegółowe procedury wykonawcze określają odrębne polityki i standardy wskazane w pakiecie dokumentów.</w:t>
      </w:r>
    </w:p>
    <w:p>
      <w:r>
        <w:t>3. Postanowienia Kodeksu należy interpretować w sposób wspierający prawidłowe wykonywanie ustawowych i statutowych kompetencji organów.</w:t>
      </w:r>
    </w:p>
    <w:p>
      <w:pPr>
        <w:pStyle w:val="Heading2"/>
      </w:pPr>
      <w:r>
        <w:t>§ 2. Podstawowe zasady</w:t>
      </w:r>
    </w:p>
    <w:p>
      <w:r>
        <w:t>Lojalność wobec Spółdzielni — działanie w interesie całej Spółdzielni, a nie dla prywatnej korzyści, grupy, frakcji lub kontrahenta.</w:t>
      </w:r>
    </w:p>
    <w:p>
      <w:r>
        <w:t>Niezależność — podejmowanie decyzji bez niedopuszczalnego wpływu osób trzecich.</w:t>
      </w:r>
    </w:p>
    <w:p>
      <w:r>
        <w:t>Bezstronność — ujawnianie i właściwe rozwiązywanie konfliktów interesów.</w:t>
      </w:r>
    </w:p>
    <w:p>
      <w:r>
        <w:t>Rzetelność — opieranie twierdzeń i decyzji na sprawdzonych informacjach.</w:t>
      </w:r>
    </w:p>
    <w:p>
      <w:r>
        <w:t>Przejrzystość — dokumentowanie istotnych decyzji i podstaw ich podjęcia.</w:t>
      </w:r>
    </w:p>
    <w:p>
      <w:r>
        <w:t>Szacunek — krytyka dotyczy spraw, działań i dowodów, a nie godności osób.</w:t>
      </w:r>
    </w:p>
    <w:p>
      <w:r>
        <w:t>Odpowiedzialność — świadomość skutków prawnych, finansowych, technicznych i społecznych podejmowanych działań.</w:t>
      </w:r>
    </w:p>
    <w:p>
      <w:r>
        <w:t>Proporcjonalność — zakres procedury i kontroli powinien odpowiadać wadze i ryzyku sprawy.</w:t>
      </w:r>
    </w:p>
    <w:p>
      <w:pPr>
        <w:pStyle w:val="Heading2"/>
      </w:pPr>
      <w:r>
        <w:t>§ 3. Rozdział kompetencji Rady i Zarządu</w:t>
      </w:r>
    </w:p>
    <w:p>
      <w:r>
        <w:t>1. Rada sprawuje kontrolę i nadzór w granicach określonych prawem i Statutem.</w:t>
      </w:r>
    </w:p>
    <w:p>
      <w:r>
        <w:t>2. Zarząd kieruje działalnością Spółdzielni i reprezentuje ją w granicach swoich kompetencji.</w:t>
      </w:r>
    </w:p>
    <w:p>
      <w:r>
        <w:t>3. Rada nie przejmuje bieżącego zarządzania. W szczególności członkowie Rady nie wydają poleceń pracownikom, nie prowadzą negocjacji z kontrahentami w imieniu Spółdzielni i nie kierują realizacją przedsięwzięć.</w:t>
      </w:r>
    </w:p>
    <w:p>
      <w:r>
        <w:t>4. Praktyczna reguła rozdziału ról brzmi: Rada pyta „czy?”, „dlaczego?” i „jakie są ryzyka?”, a Zarząd odpowiada za „jak?” i wykonanie.</w:t>
      </w:r>
    </w:p>
    <w:p>
      <w:pPr>
        <w:pStyle w:val="Heading2"/>
      </w:pPr>
      <w:r>
        <w:t>§ 4. Kolegialność i indywidualna odpowiedzialność</w:t>
      </w:r>
    </w:p>
    <w:p>
      <w:r>
        <w:t>1. Członek organu ma prawo zadawać pytania, zgłaszać wnioski, wskazywać ryzyka i przedstawiać odmienne stanowisko.</w:t>
      </w:r>
    </w:p>
    <w:p>
      <w:r>
        <w:t>2. Stanowisko organu powstaje w trybie właściwym dla tego organu. Pojedynczy członek nie przedstawia własnego stanowiska jako stanowiska organu bez odpowiedniego upoważnienia.</w:t>
      </w:r>
    </w:p>
    <w:p>
      <w:r>
        <w:t>3. Członek, który głosował przeciw uchwale, może zgłosić zdanie odrębne na zasadach określonych w regulaminie organu.</w:t>
      </w:r>
    </w:p>
    <w:p>
      <w:r>
        <w:t xml:space="preserve">4. Po prawidłowym podjęciu decyzji członek nie podejmuje działań </w:t>
      </w:r>
      <w:r>
        <w:rPr>
          <w:b/>
        </w:rPr>
        <w:t>sprzecznych z jej wykonaniem</w:t>
      </w:r>
      <w:r>
        <w:t xml:space="preserve"> — w szczególności nie instruuje pracowników ani kontrahentów, by uchwały nie wykonywali, nie przedstawia publicznie uchwały jako nieobowiązującej, oraz nie utrudnia jej realizacji poza trybem przewidzianym prawem i Statutem — zachowując przy tym prawo do korzystania ze środków przewidzianych prawem i Statutem (odwołanie, zaskarżenie uchwały do sądu, zdanie odrębne).</w:t>
      </w:r>
    </w:p>
    <w:p>
      <w:pPr>
        <w:pStyle w:val="Heading2"/>
      </w:pPr>
      <w:r>
        <w:t>§ 5. Standard świadomego wykonywania mandatu</w:t>
      </w:r>
    </w:p>
    <w:p>
      <w:r>
        <w:t>1. Członek organu powinien zapoznać się z materiałami niezbędnymi do wykonywania funkcji i zgłaszać brak informacji potrzebnych do świadomego rozstrzygnięcia.</w:t>
      </w:r>
    </w:p>
    <w:p>
      <w:r>
        <w:t>2. Jeżeli materiał jest niewystarczający, członek może wnioskować o jego uzupełnienie, zasięgnięcie opinii eksperta albo odroczenie decyzji, jeżeli jest to uzasadnione wagą sprawy.</w:t>
      </w:r>
    </w:p>
    <w:p>
      <w:r>
        <w:t>3. Przy sprawach istotnych stosuje się Standard podejmowania i dokumentowania decyzji.</w:t>
      </w:r>
    </w:p>
    <w:p>
      <w:pPr>
        <w:pStyle w:val="Heading2"/>
      </w:pPr>
      <w:r>
        <w:t>§ 6. Ekspertyza i wiedza specjalistyczna</w:t>
      </w:r>
    </w:p>
    <w:p>
      <w:r>
        <w:t>1. Wiedza zawodowa i fachowa członków Rady — niezależnie od dziedziny (np. budownictwo, finanse, prawo, IT, zarządzanie nieruchomościami) — jest zasobem wspierającym nadzór, a nie podstawą do przejęcia wykonawstwa w tej dziedzinie.</w:t>
      </w:r>
    </w:p>
    <w:p>
      <w:r>
        <w:t>2. Członek posiadający wiedzę specjalistyczną w danej dziedzinie może w jej zakresie: analizować materiały, wskazywać ryzyka, proponować kryteria oceny, rekomendować niezależny audyt lub ekspertyzę zewnętrzną oraz uczestniczyć w ocenie rezultatów podjętych działań.</w:t>
      </w:r>
    </w:p>
    <w:p>
      <w:r>
        <w:t>3. Ta sama zasada obowiązuje niezależnie od dziedziny eksperckiej: członek Rady nie przejmuje roli wykonawczej właściwej Zarządowi lub pracownikom Spółdzielni. W szczególności — bez względu na to, czy chodzi o systemy informatyczne, dokumentację techniczną budynków, księgowość czy inną materię operacyjną — nie administruje systemami/procesami produkcyjnymi, nie wydaje poleceń pracownikom, nie negocjuje w imieniu Spółdzielni i nie kieruje samodzielnie realizacją projektu.</w:t>
      </w:r>
    </w:p>
    <w:p>
      <w:r>
        <w:t>4. Dostęp do informacji potrzebnych do kontroli w danej dziedzinie powinien być realizowany w sposób proporcjonalny i bezpieczny; zakaz dostępu operacyjnego nie oznacza zakazu dostępu do informacji niezbędnych do wykonywania funkcji nadzorczej.</w:t>
      </w:r>
    </w:p>
    <w:p>
      <w:r>
        <w:t>5. Powyższe zasady stosuje się jednolicie do wszystkich członków Rady dysponujących wiedzą specjalistyczną w jakiejkolwiek dziedzinie — nie tylko do spraw związanych z technologią czy IT.</w:t>
      </w:r>
    </w:p>
    <w:p>
      <w:pPr>
        <w:pStyle w:val="Heading2"/>
      </w:pPr>
      <w:r>
        <w:t>§ 7. Zarządzanie ryzykiem i gospodarność</w:t>
      </w:r>
    </w:p>
    <w:p>
      <w:r>
        <w:t>1. Przy istotnych decyzjach organy uwzględniają w szczególności ryzyko prawne, finansowe, techniczne, operacyjne, bezpieczeństwa, ochrony danych, ciągłości działania oraz zależności od pojedynczego dostawcy.</w:t>
      </w:r>
    </w:p>
    <w:p>
      <w:r>
        <w:t>2. Ocena rozwiązania powinna, w miarę możliwości, obejmować całkowity koszt cyklu życia, a nie wyłącznie koszt początkowy.</w:t>
      </w:r>
    </w:p>
    <w:p>
      <w:r>
        <w:t>3. Organy dążą do racjonalnego gospodarowania majątkiem Spółdzielni i ochrony jej długoterminowej stabilności.</w:t>
      </w:r>
    </w:p>
    <w:p>
      <w:pPr>
        <w:pStyle w:val="Heading2"/>
      </w:pPr>
      <w:r>
        <w:t>§ 8. Informacja, poufność i transparentność</w:t>
      </w:r>
    </w:p>
    <w:p>
      <w:r>
        <w:t>1. Informacje uzyskane w związku z funkcją są wykorzystywane wyłącznie w zakresie niezbędnym do jej wykonywania.</w:t>
      </w:r>
    </w:p>
    <w:p>
      <w:r>
        <w:t>2. Członkowie odróżniają decyzje podjęte, sprawy w toku i informacje poufne.</w:t>
      </w:r>
    </w:p>
    <w:p>
      <w:r>
        <w:t>3. Spraw w toku nie przedstawia się jako przesądzonych; wstępnych danych nie przedstawia się jako ostatecznych.</w:t>
      </w:r>
    </w:p>
    <w:p>
      <w:r>
        <w:t>4. Obowiązek poufności trwa także po zakończeniu mandatu, z zastrzeżeniem praw członków Spółdzielni do informacji i obowiązków wynikających z prawa.</w:t>
      </w:r>
    </w:p>
    <w:p>
      <w:r>
        <w:t>5. Szczegółowe zasady publikacji informacji określają Statut, przepisy prawa i właściwe standardy komunikacji. Zasady przetwarzania danych osobowych mieszkańców/członków, do których członkowie organów mają dostęp — patrz wewnętrzna polityka ochrony danych osobowych Spółdzielni (RODO).</w:t>
      </w:r>
    </w:p>
    <w:p>
      <w:pPr>
        <w:pStyle w:val="Heading2"/>
      </w:pPr>
      <w:r>
        <w:t>§ 9. Równe traktowanie i relacje ze spółdzielcami</w:t>
      </w:r>
    </w:p>
    <w:p>
      <w:r>
        <w:t>1. Funkcja nie może być wykorzystywana do uzyskania dla siebie lub osoby powiązanej korzystniejszych warunków niż dla innych członków w porównywalnej sytuacji.</w:t>
      </w:r>
    </w:p>
    <w:p>
      <w:r>
        <w:t>2. W kontaktach ze spółdzielcami członek zachowuje uprzejmość i odróżnia własne stanowisko od stanowiska organu.</w:t>
      </w:r>
    </w:p>
    <w:p>
      <w:r>
        <w:t>3. Nieoficjalne kontakty nie zastępują formalnego trybu podejmowania decyzji.</w:t>
      </w:r>
    </w:p>
    <w:p>
      <w:pPr>
        <w:pStyle w:val="Heading2"/>
      </w:pPr>
      <w:r>
        <w:t>§ 10. Relacje z pracownikami</w:t>
      </w:r>
    </w:p>
    <w:p>
      <w:r>
        <w:t>1. Członkowie Rady nie wydają poleceń pracownikom ani nie zlecają im zadań poza trybem przewidzianym prawem i regulaminami.</w:t>
      </w:r>
    </w:p>
    <w:p>
      <w:r>
        <w:t>2. Uwagi dotyczące pracy pracowników kierowane są do Zarządu.</w:t>
      </w:r>
    </w:p>
    <w:p>
      <w:r>
        <w:t>3. Czynności kontrolne mogą być prowadzone w trybie określonym w Regulaminie Rady.</w:t>
      </w:r>
    </w:p>
    <w:p>
      <w:pPr>
        <w:pStyle w:val="Heading2"/>
      </w:pPr>
      <w:r>
        <w:t>§ 11. Pamięć instytucjonalna</w:t>
      </w:r>
    </w:p>
    <w:p>
      <w:r>
        <w:t>1. Istotna wiedza dotycząca działalności Spółdzielni powinna być dokumentowana tak, aby mogła być wykorzystana przez kolejne składy organów.</w:t>
      </w:r>
    </w:p>
    <w:p>
      <w:r>
        <w:t>2. Dokumentacja decyzji, umów, analiz, audytów i projektów powinna być przechowywana w sposób zapewniający ciągłość wiedzy i możliwość odtworzenia historii sprawy.</w:t>
      </w:r>
    </w:p>
    <w:p>
      <w:r>
        <w:t>3. Odejście konkretnej osoby nie powinno powodować utraty kluczowej wiedzy organizacyjnej.</w:t>
      </w:r>
    </w:p>
    <w:p>
      <w:pPr>
        <w:pStyle w:val="Heading2"/>
      </w:pPr>
      <w:r>
        <w:t>§ 12. Zgłaszanie nieprawidłowości i spory</w:t>
      </w:r>
    </w:p>
    <w:p>
      <w:r>
        <w:t>1. Podejrzenia nieprawidłowości zgłasza się w sposób określony w Procedurze zgłaszania nieprawidłowości.</w:t>
      </w:r>
    </w:p>
    <w:p>
      <w:r>
        <w:t>2. Spory merytoryczne rozstrzyga się w ramach właściwego organu; spory personalne mogą być kierowane do mediacji, jeżeli charakter sprawy na to pozwala.</w:t>
      </w:r>
    </w:p>
    <w:p>
      <w:r>
        <w:t>3. Zgłoszenie dokonane w dobrej wierze nie może być traktowane jako naruszenie Kodeksu tylko dlatego, że zarzut ostatecznie się nie potwierdził.</w:t>
      </w:r>
    </w:p>
    <w:p>
      <w:pPr>
        <w:pStyle w:val="Heading2"/>
      </w:pPr>
      <w:r>
        <w:t>§ 13. Naruszenia Kodeksu</w:t>
      </w:r>
    </w:p>
    <w:p>
      <w:r>
        <w:t>1. Kodeks nie ustanawia sankcji wykraczających poza kompetencje właściwego organu wynikające z prawa, Statutu i regulaminów.</w:t>
      </w:r>
    </w:p>
    <w:p>
      <w:r>
        <w:t>1a. Naruszenie Kodeksu przez członka Zarządu może stanowić podstawę odwołania go z Zarządu przez Radę Nadzorczą, z pisemnym uzasadnieniem (Statut § 55 ust. 2). Naruszenie przez członka Rady Nadzorczej może stanowić podstawę odwołania go z Rady przez Walne Zgromadzenie większością 2/3 głosów (Statut § 48).</w:t>
      </w:r>
    </w:p>
    <w:p>
      <w:r>
        <w:t>2. Postępowanie dotyczące naruszenia powinno zapewniać bezstronność, możliwość przedstawienia wyjaśnień oraz wyłączenie osoby, której dotyczy sprawa.</w:t>
      </w:r>
    </w:p>
    <w:p>
      <w:r>
        <w:t>3. Szczegółowy tryb rozpatrywania naruszeń należy określić w odrębnej procedurze lub właściwym regulaminie.</w:t>
      </w:r>
    </w:p>
    <w:p>
      <w:pPr>
        <w:pStyle w:val="Heading2"/>
      </w:pPr>
      <w:r>
        <w:t>§ 14. Przegląd Kodeksu</w:t>
      </w:r>
    </w:p>
    <w:p>
      <w:r>
        <w:t>1. Kodeks podlega przeglądowi nie rzadziej niż raz na dwa lata oraz po istotnej zmianie prawa, Statutu lub struktury organizacyjnej.</w:t>
      </w:r>
    </w:p>
    <w:p>
      <w:r>
        <w:t>2. Propozycje zmian mogą zgłaszać członkowie organów.</w:t>
      </w:r>
    </w:p>
    <w:p>
      <w:r>
        <w:t>3. Przy przeglądzie należy ocenić także praktyczne działanie dokumentów wykonawczych.</w:t>
      </w:r>
    </w:p>
    <w:p>
      <w:pPr>
        <w:pStyle w:val="Heading2"/>
      </w:pPr>
      <w:r>
        <w:t>§ 15. Wejście w życie</w:t>
      </w:r>
    </w:p>
    <w:p>
      <w:r>
        <w:t xml:space="preserve">1. </w:t>
      </w:r>
      <w:r>
        <w:rPr>
          <w:b/>
        </w:rPr>
        <w:t>Propozycja trybu przyjęcia</w:t>
      </w:r>
      <w:r>
        <w:t xml:space="preserve"> (do potwierdzenia przez radcę prawnego): Kodeks reguluje zachowanie zarówno członków Rady Nadzorczej, jak i Zarządu. Ponieważ uchwalanie regulaminu Rady Nadzorczej jest zastrzeżone dla Walnego Zgromadzenia (§ 36 pkt 16 Statutu), a Kodeks w części dotyczącej Rady ma charakter zbliżony do materii regulaminowej (np. § 3, § 10), rekomenduje się, aby </w:t>
      </w:r>
      <w:r>
        <w:rPr>
          <w:b/>
        </w:rPr>
        <w:t>Kodeks przyjęło Walne Zgromadzenie</w:t>
      </w:r>
      <w:r>
        <w:t xml:space="preserve"> — tak jak przyjmuje Regulamin Rady Nadzorczej — niezależnie od tego, że sam Kodeks nie tworzy nowych kompetencji (§ 1 ust. 2). Alternatywnie, jeżeli radca prawny uzna to za wystarczające, możliwe jest przyjęcie odrębnie: przez Radę Nadzorczą — części dotyczącej wyłącznie jej własnego postępowania (na zasadzie samoograniczenia analogicznego do regulaminów wewnętrznych), oraz przez Radę Nadzorczą jako część Regulaminu Zarządu — w części dotyczącej Zarządu (Statut § 49 ust. 1 pkt 20). Rozwiązanie „WZ przyjmuje całość" jest prostsze i mniej podatne na zarzut obejścia kompetencji WZ.</w:t>
      </w:r>
    </w:p>
    <w:p>
      <w:r>
        <w:t>2. Członkowie organów potwierdzają zapoznanie się z Kodeksem.</w:t>
      </w:r>
    </w:p>
    <w:p>
      <w:r>
        <w:t xml:space="preserve">3. </w:t>
      </w:r>
      <w:r>
        <w:rPr>
          <w:b/>
        </w:rPr>
        <w:t>Brak działania wstecz</w:t>
      </w:r>
      <w:r>
        <w:t>: Kodeks ocenia zachowania od dnia jego wejścia w życie. Nie służy do wstecznej kwalifikacji zachowań sprzed tej daty jako „naruszenia Kodeksu".</w:t>
      </w:r>
    </w:p>
    <w:p>
      <w:r>
        <w:t>4. Data wejścia w życie: [●].</w:t>
      </w:r>
    </w:p>
    <w:p>
      <w:pPr>
        <w:pStyle w:val="Heading1"/>
      </w:pPr>
      <w:r>
        <w:t>Załącznik — podstawowe reguły praktyczne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Dobre działanie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Działanie niewłaściwe</w:t>
            </w:r>
          </w:p>
        </w:tc>
      </w:tr>
      <w:tr>
        <w:tc>
          <w:tcPr>
            <w:tcW w:type="dxa" w:w="4320"/>
          </w:tcPr>
          <w:p>
            <w:r>
              <w:t>Zadaję pytania i żądam informacji w ramach kompetencji</w:t>
            </w:r>
          </w:p>
        </w:tc>
        <w:tc>
          <w:tcPr>
            <w:tcW w:type="dxa" w:w="4320"/>
          </w:tcPr>
          <w:p>
            <w:r>
              <w:t>Wydaję polecenia pracownikowi</w:t>
            </w:r>
          </w:p>
        </w:tc>
      </w:tr>
      <w:tr>
        <w:tc>
          <w:tcPr>
            <w:tcW w:type="dxa" w:w="4320"/>
          </w:tcPr>
          <w:p>
            <w:r>
              <w:t>Wskazuję ryzyko i proponuję audyt</w:t>
            </w:r>
          </w:p>
        </w:tc>
        <w:tc>
          <w:tcPr>
            <w:tcW w:type="dxa" w:w="4320"/>
          </w:tcPr>
          <w:p>
            <w:r>
              <w:t>Sam wykonuję prace projektu zamiast go nadzorować (np. administruję systemem, negocjuję z wykonawcą, wydaję mu polecenia)</w:t>
            </w:r>
          </w:p>
        </w:tc>
      </w:tr>
      <w:tr>
        <w:tc>
          <w:tcPr>
            <w:tcW w:type="dxa" w:w="4320"/>
          </w:tcPr>
          <w:p>
            <w:r>
              <w:t>Zgłaszam konflikt interesów</w:t>
            </w:r>
          </w:p>
        </w:tc>
        <w:tc>
          <w:tcPr>
            <w:tcW w:type="dxa" w:w="4320"/>
          </w:tcPr>
          <w:p>
            <w:r>
              <w:t>Ukrywam powiązanie</w:t>
            </w:r>
          </w:p>
        </w:tc>
      </w:tr>
      <w:tr>
        <w:tc>
          <w:tcPr>
            <w:tcW w:type="dxa" w:w="4320"/>
          </w:tcPr>
          <w:p>
            <w:r>
              <w:t>Oddzielam własne stanowisko od stanowiska Rady</w:t>
            </w:r>
          </w:p>
        </w:tc>
        <w:tc>
          <w:tcPr>
            <w:tcW w:type="dxa" w:w="4320"/>
          </w:tcPr>
          <w:p>
            <w:r>
              <w:t>Przedstawiam własne zdanie jako decyzję Rady</w:t>
            </w:r>
          </w:p>
        </w:tc>
      </w:tr>
      <w:tr>
        <w:tc>
          <w:tcPr>
            <w:tcW w:type="dxa" w:w="4320"/>
          </w:tcPr>
          <w:p>
            <w:r>
              <w:t>Głosuję i mogę zgłosić zdanie odrębne</w:t>
            </w:r>
          </w:p>
        </w:tc>
        <w:tc>
          <w:tcPr>
            <w:tcW w:type="dxa" w:w="4320"/>
          </w:tcPr>
          <w:p>
            <w:r>
              <w:t>Po głosowaniu sabotuję wykonanie uchwały</w:t>
            </w:r>
          </w:p>
        </w:tc>
      </w:tr>
      <w:tr>
        <w:tc>
          <w:tcPr>
            <w:tcW w:type="dxa" w:w="4320"/>
          </w:tcPr>
          <w:p>
            <w:r>
              <w:t>Chronię informacje poufne</w:t>
            </w:r>
          </w:p>
        </w:tc>
        <w:tc>
          <w:tcPr>
            <w:tcW w:type="dxa" w:w="4320"/>
          </w:tcPr>
          <w:p>
            <w:r>
              <w:t>Przekazuję je osobom nieuprawnionym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